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80C9E68" w:rsidR="00E978D0" w:rsidRPr="00B57B36" w:rsidRDefault="00DF7411" w:rsidP="00E978D0">
      <w:pPr>
        <w:pStyle w:val="CETTitle"/>
      </w:pPr>
      <w:r>
        <w:t>Bioelectrochemical chlorinated aliphatic hydrocarbons reduction in synthetic and real contaminated groundwaters</w:t>
      </w:r>
    </w:p>
    <w:p w14:paraId="0488FED2" w14:textId="302A761E" w:rsidR="00B57E6F" w:rsidRPr="00DF7411" w:rsidRDefault="00DF7411" w:rsidP="00B57E6F">
      <w:pPr>
        <w:pStyle w:val="CETAuthors"/>
        <w:rPr>
          <w:lang w:val="it-IT"/>
        </w:rPr>
      </w:pPr>
      <w:r w:rsidRPr="00DF7411">
        <w:rPr>
          <w:lang w:val="it-IT"/>
        </w:rPr>
        <w:t>Edoardo Dell’Armi</w:t>
      </w:r>
      <w:r w:rsidRPr="00DF7411">
        <w:rPr>
          <w:vertAlign w:val="superscript"/>
          <w:lang w:val="it-IT"/>
        </w:rPr>
        <w:t>*</w:t>
      </w:r>
      <w:r w:rsidR="00B57E6F" w:rsidRPr="00DF7411">
        <w:rPr>
          <w:lang w:val="it-IT"/>
        </w:rPr>
        <w:t xml:space="preserve">, </w:t>
      </w:r>
      <w:r w:rsidR="00DC4C5B">
        <w:rPr>
          <w:lang w:val="it-IT"/>
        </w:rPr>
        <w:t xml:space="preserve">Marta Maria Rossi, </w:t>
      </w:r>
      <w:r w:rsidRPr="00DF7411">
        <w:rPr>
          <w:lang w:val="it-IT"/>
        </w:rPr>
        <w:t>Marco Zeppilli</w:t>
      </w:r>
      <w:r w:rsidR="00B57E6F" w:rsidRPr="00DF7411">
        <w:rPr>
          <w:lang w:val="it-IT"/>
        </w:rPr>
        <w:t>,</w:t>
      </w:r>
      <w:r w:rsidRPr="00DF7411">
        <w:rPr>
          <w:lang w:val="it-IT"/>
        </w:rPr>
        <w:t xml:space="preserve"> Mauro Majone, Marco Petrangeli Papini.</w:t>
      </w:r>
    </w:p>
    <w:p w14:paraId="3D72B0B0" w14:textId="238CC610" w:rsidR="00B57E6F" w:rsidRPr="00B57B36" w:rsidRDefault="00B57E6F" w:rsidP="00B57E6F">
      <w:pPr>
        <w:pStyle w:val="CETAddress"/>
      </w:pPr>
      <w:r w:rsidRPr="00B57B36">
        <w:rPr>
          <w:vertAlign w:val="superscript"/>
        </w:rPr>
        <w:t>a</w:t>
      </w:r>
      <w:r w:rsidR="00DF7411">
        <w:t>Department of Chemistry, University of Rome “La Sapienza”, Piazzale Aldo Moro, 5, 00185, Rome, Italy.</w:t>
      </w:r>
    </w:p>
    <w:p w14:paraId="73F1267A" w14:textId="28599FFE" w:rsidR="00B57E6F" w:rsidRPr="00B57B36" w:rsidRDefault="00B57E6F" w:rsidP="00B57E6F">
      <w:pPr>
        <w:pStyle w:val="CETemail"/>
      </w:pPr>
      <w:r>
        <w:t xml:space="preserve"> </w:t>
      </w:r>
      <w:r w:rsidR="00CC6362">
        <w:t>edoardo.dellarmi</w:t>
      </w:r>
      <w:r w:rsidRPr="00B57B36">
        <w:t>@</w:t>
      </w:r>
      <w:r w:rsidR="00CC6362">
        <w:t>uniroma1.it</w:t>
      </w:r>
    </w:p>
    <w:p w14:paraId="37A61FCE" w14:textId="1F3DDB7A" w:rsidR="00DA24C6" w:rsidRPr="00E0381A" w:rsidRDefault="00E0381A" w:rsidP="00E0381A">
      <w:pPr>
        <w:pStyle w:val="CETBodytext"/>
        <w:rPr>
          <w:lang w:val="en-GB"/>
        </w:rPr>
      </w:pPr>
      <w:r w:rsidRPr="00E0381A">
        <w:rPr>
          <w:lang w:val="en-GB"/>
        </w:rPr>
        <w:t>The wide</w:t>
      </w:r>
      <w:r w:rsidR="008E02DE">
        <w:rPr>
          <w:lang w:val="en-GB"/>
        </w:rPr>
        <w:t>spread contamination</w:t>
      </w:r>
      <w:r w:rsidRPr="00E0381A">
        <w:rPr>
          <w:lang w:val="en-GB"/>
        </w:rPr>
        <w:t xml:space="preserve"> of </w:t>
      </w:r>
      <w:r w:rsidR="0005678B">
        <w:rPr>
          <w:lang w:val="en-GB"/>
        </w:rPr>
        <w:t>c</w:t>
      </w:r>
      <w:r w:rsidRPr="00E0381A">
        <w:rPr>
          <w:lang w:val="en-GB"/>
        </w:rPr>
        <w:t xml:space="preserve">hlorinated </w:t>
      </w:r>
      <w:r w:rsidR="0005678B">
        <w:rPr>
          <w:lang w:val="en-GB"/>
        </w:rPr>
        <w:t>a</w:t>
      </w:r>
      <w:r w:rsidRPr="00E0381A">
        <w:rPr>
          <w:lang w:val="en-GB"/>
        </w:rPr>
        <w:t xml:space="preserve">liphatic </w:t>
      </w:r>
      <w:r w:rsidR="0005678B">
        <w:rPr>
          <w:lang w:val="en-GB"/>
        </w:rPr>
        <w:t>h</w:t>
      </w:r>
      <w:r w:rsidRPr="00E0381A">
        <w:rPr>
          <w:lang w:val="en-GB"/>
        </w:rPr>
        <w:t>ydrocarbons (CAHs) as Perchloroethylene (PCE) and Trichloroethylene (TCE)</w:t>
      </w:r>
      <w:r w:rsidR="008E02DE">
        <w:rPr>
          <w:lang w:val="en-GB"/>
        </w:rPr>
        <w:t xml:space="preserve"> over the past recent years</w:t>
      </w:r>
      <w:r w:rsidRPr="00E0381A">
        <w:rPr>
          <w:lang w:val="en-GB"/>
        </w:rPr>
        <w:t xml:space="preserve"> and their uncorrected disposal and storing brought these substances to become one of the most common contaminants of subsoils and groundwater in the world. In recent years, more sustainable remediation and cost-effective technologies involv</w:t>
      </w:r>
      <w:r w:rsidR="008E02DE">
        <w:rPr>
          <w:lang w:val="en-GB"/>
        </w:rPr>
        <w:t>ing</w:t>
      </w:r>
      <w:r w:rsidRPr="00E0381A">
        <w:rPr>
          <w:lang w:val="en-GB"/>
        </w:rPr>
        <w:t xml:space="preserve"> groundwater’s indigenous microorganism such as the dehalorespiring microorganisms. Dehalorespiring microorganisms can reduce PCE and TCE via reductive dechlorination (RD) while aerobic dechlorinating microorganisms oxidized low chlorinated compound such as cis-dichloroethylene (</w:t>
      </w:r>
      <w:proofErr w:type="spellStart"/>
      <w:r w:rsidRPr="00E0381A">
        <w:rPr>
          <w:lang w:val="en-GB"/>
        </w:rPr>
        <w:t>cDCE</w:t>
      </w:r>
      <w:proofErr w:type="spellEnd"/>
      <w:r w:rsidRPr="00E0381A">
        <w:rPr>
          <w:lang w:val="en-GB"/>
        </w:rPr>
        <w:t xml:space="preserve">) and vinyl chloride (VC) into non harmful products. The integration of reductive dechlorination and aerobic dechlorination results in an efficient approach for the complete mineralization of high chlorinated compounds, which usually led to a build-up of VC. Bioelectrochemical systems, which exploit the capability of microorganisms to interact with a polarized electrode, provide an effective strategy to promote reductive and oxidative environments by the regulation of the applied potentials. Indeed, the complete mineralization of high chlorinated CAHs, can be obtained by a sequential reductive/oxidative bioelectrochemical process which allows for the optimization of the reductive and oxidative dechlorinating conditions. In this study the performances of the reductive reactor, devoted to the reductive dechlorination has been presented with three different </w:t>
      </w:r>
      <w:r w:rsidR="0005678B">
        <w:rPr>
          <w:lang w:val="en-GB"/>
        </w:rPr>
        <w:t xml:space="preserve">contaminated </w:t>
      </w:r>
      <w:r w:rsidRPr="00E0381A">
        <w:rPr>
          <w:lang w:val="en-GB"/>
        </w:rPr>
        <w:t>feeding solutions. The three different feeding solutions included an optimized mineral medium,</w:t>
      </w:r>
      <w:r w:rsidR="0005678B">
        <w:rPr>
          <w:lang w:val="en-GB"/>
        </w:rPr>
        <w:t xml:space="preserve"> a</w:t>
      </w:r>
      <w:r w:rsidRPr="00E0381A">
        <w:rPr>
          <w:lang w:val="en-GB"/>
        </w:rPr>
        <w:t xml:space="preserve"> synthetic groundwater (constituted by tap water added with nitrate and sulphate) and a real contaminated groundwater. Moreover, different operating conditions like hydraulic retention time (HRT) and applied cathodic potential have been investigated to assess the performance of the reductive dechlorination and on side reactions. The analysis of the coulombic efficiencies for the reductive dechlorination in the reductive reactor showed an important effect of the feeding solution composition and operating conditions (applied potential and HRT), namely strongly decreasing under when using real contaminated groundwater. Despite the progressive decrease of the coulombic efficiency obtained using more complex matrixes, the CAHs removal rates along with the energetic consumption of the process showed an advantageous perspective in the adoption of the bioelectrochemical process for the stimulation of the reductive dechlorination reaction.</w:t>
      </w:r>
    </w:p>
    <w:p w14:paraId="476B2F2E" w14:textId="77777777" w:rsidR="00600535" w:rsidRPr="00B57B36" w:rsidRDefault="00600535" w:rsidP="00600535">
      <w:pPr>
        <w:pStyle w:val="CETHeading1"/>
        <w:rPr>
          <w:lang w:val="en-GB"/>
        </w:rPr>
      </w:pPr>
      <w:r w:rsidRPr="00B57B36">
        <w:rPr>
          <w:lang w:val="en-GB"/>
        </w:rPr>
        <w:t>Introduction</w:t>
      </w:r>
    </w:p>
    <w:p w14:paraId="1AED3853" w14:textId="443EF3FD" w:rsidR="00600535" w:rsidRPr="00A04FEA" w:rsidRDefault="004D4188" w:rsidP="00A04FEA">
      <w:pPr>
        <w:pStyle w:val="CETBodytext"/>
        <w:rPr>
          <w:lang w:val="en-GB"/>
        </w:rPr>
      </w:pPr>
      <w:r>
        <w:rPr>
          <w:lang w:val="en-GB"/>
        </w:rPr>
        <w:t>Chlorinated Aliphatic Hydrocarbons (CAHs) such as Perchloroethylene (PCE) and Trichloroethylene (TCE)</w:t>
      </w:r>
      <w:r w:rsidR="005124FE">
        <w:rPr>
          <w:lang w:val="en-GB"/>
        </w:rPr>
        <w:t xml:space="preserve"> are organic compounds in which chlorine atoms are directly linked to the carbon skeleton of the molecule. Due to their peculiar physical-chemical properties, the chlorinated solvents were widely used for many industrial</w:t>
      </w:r>
      <w:r w:rsidR="00167AA0">
        <w:rPr>
          <w:lang w:val="en-GB"/>
        </w:rPr>
        <w:t xml:space="preserve"> and civil</w:t>
      </w:r>
      <w:r w:rsidR="005124FE">
        <w:rPr>
          <w:lang w:val="en-GB"/>
        </w:rPr>
        <w:t xml:space="preserve"> activities. The massive utilization and improper storage or disposal have made the CAHs one of the most common and </w:t>
      </w:r>
      <w:r w:rsidR="00844E01">
        <w:rPr>
          <w:lang w:val="en-GB"/>
        </w:rPr>
        <w:t>ubiquitous contaminants of many matrices. Nowadays the contaminated matrices were often remediate using technologies that are based on the CAHs chemical-physical properties</w:t>
      </w:r>
      <w:r w:rsidR="0037550A">
        <w:rPr>
          <w:lang w:val="en-GB"/>
        </w:rPr>
        <w:t xml:space="preserve"> (</w:t>
      </w:r>
      <w:proofErr w:type="spellStart"/>
      <w:r w:rsidR="0037550A">
        <w:rPr>
          <w:lang w:val="en-GB"/>
        </w:rPr>
        <w:t>Casasso</w:t>
      </w:r>
      <w:proofErr w:type="spellEnd"/>
      <w:r w:rsidR="0037550A">
        <w:rPr>
          <w:lang w:val="en-GB"/>
        </w:rPr>
        <w:t xml:space="preserve"> et al. 2020)</w:t>
      </w:r>
      <w:r w:rsidR="00844E01">
        <w:rPr>
          <w:lang w:val="en-GB"/>
        </w:rPr>
        <w:t xml:space="preserve"> but to develop more sustainable and low costs technologies</w:t>
      </w:r>
      <w:r w:rsidR="003E060A">
        <w:rPr>
          <w:lang w:val="en-GB"/>
        </w:rPr>
        <w:t xml:space="preserve"> </w:t>
      </w:r>
      <w:r w:rsidR="0037550A">
        <w:rPr>
          <w:lang w:val="en-GB"/>
        </w:rPr>
        <w:t>(Rossi et al. 2021)</w:t>
      </w:r>
      <w:r w:rsidR="00844E01">
        <w:rPr>
          <w:lang w:val="en-GB"/>
        </w:rPr>
        <w:t>, the</w:t>
      </w:r>
      <w:r w:rsidR="00E35BC5">
        <w:rPr>
          <w:lang w:val="en-GB"/>
        </w:rPr>
        <w:t xml:space="preserve"> remediation intervention that exploit indigenous microbial communities are gaining the interest of the scientific community. The Reductive Dechlorination reaction (RD) </w:t>
      </w:r>
      <w:r w:rsidR="00222433">
        <w:rPr>
          <w:lang w:val="en-GB"/>
        </w:rPr>
        <w:t xml:space="preserve">is a biological step happening reaction </w:t>
      </w:r>
      <w:r w:rsidR="00304895">
        <w:rPr>
          <w:lang w:val="en-GB"/>
        </w:rPr>
        <w:t xml:space="preserve">in which for every step the molecule </w:t>
      </w:r>
      <w:proofErr w:type="gramStart"/>
      <w:r w:rsidR="00304895">
        <w:rPr>
          <w:lang w:val="en-GB"/>
        </w:rPr>
        <w:t>lo</w:t>
      </w:r>
      <w:r w:rsidR="0033502F">
        <w:rPr>
          <w:lang w:val="en-GB"/>
        </w:rPr>
        <w:t>o</w:t>
      </w:r>
      <w:r w:rsidR="00304895">
        <w:rPr>
          <w:lang w:val="en-GB"/>
        </w:rPr>
        <w:t>se</w:t>
      </w:r>
      <w:proofErr w:type="gramEnd"/>
      <w:r w:rsidR="00304895">
        <w:rPr>
          <w:lang w:val="en-GB"/>
        </w:rPr>
        <w:t xml:space="preserve"> </w:t>
      </w:r>
      <w:r w:rsidR="00304895">
        <w:rPr>
          <w:lang w:val="en-GB"/>
        </w:rPr>
        <w:lastRenderedPageBreak/>
        <w:t xml:space="preserve">a chlorine atom and gain </w:t>
      </w:r>
      <w:r w:rsidR="0033502F">
        <w:rPr>
          <w:lang w:val="en-GB"/>
        </w:rPr>
        <w:t>a</w:t>
      </w:r>
      <w:r w:rsidR="00304895">
        <w:rPr>
          <w:lang w:val="en-GB"/>
        </w:rPr>
        <w:t xml:space="preserve"> hydrogen atom that came from the molecul</w:t>
      </w:r>
      <w:r w:rsidR="0033502F">
        <w:rPr>
          <w:lang w:val="en-GB"/>
        </w:rPr>
        <w:t>ar hydrogen oxidation</w:t>
      </w:r>
      <w:r w:rsidR="0037550A">
        <w:rPr>
          <w:lang w:val="en-GB"/>
        </w:rPr>
        <w:t xml:space="preserve"> (</w:t>
      </w:r>
      <w:proofErr w:type="spellStart"/>
      <w:r w:rsidR="0037550A">
        <w:rPr>
          <w:lang w:val="en-GB"/>
        </w:rPr>
        <w:t>Matturro</w:t>
      </w:r>
      <w:proofErr w:type="spellEnd"/>
      <w:r w:rsidR="0037550A">
        <w:rPr>
          <w:lang w:val="en-GB"/>
        </w:rPr>
        <w:t xml:space="preserve"> et al 2018)</w:t>
      </w:r>
      <w:r w:rsidR="00C83E0F">
        <w:rPr>
          <w:lang w:val="en-GB"/>
        </w:rPr>
        <w:t xml:space="preserve">. </w:t>
      </w:r>
      <w:r w:rsidR="0033502F">
        <w:rPr>
          <w:lang w:val="en-GB"/>
        </w:rPr>
        <w:t>In the field condition is difficult providing the redox condition for reaching the total remova</w:t>
      </w:r>
      <w:r w:rsidR="00201634">
        <w:rPr>
          <w:lang w:val="en-GB"/>
        </w:rPr>
        <w:t>l</w:t>
      </w:r>
      <w:r w:rsidR="0033502F">
        <w:rPr>
          <w:lang w:val="en-GB"/>
        </w:rPr>
        <w:t xml:space="preserve"> of CAHs, and this led to a possible Vinyl Chloride accumulation </w:t>
      </w:r>
      <w:r w:rsidR="00201634">
        <w:rPr>
          <w:lang w:val="en-GB"/>
        </w:rPr>
        <w:t>(the</w:t>
      </w:r>
      <w:r w:rsidR="0033502F">
        <w:rPr>
          <w:lang w:val="en-GB"/>
        </w:rPr>
        <w:t xml:space="preserve"> most toxic and cancerogenic </w:t>
      </w:r>
      <w:r w:rsidR="00201634">
        <w:rPr>
          <w:lang w:val="en-GB"/>
        </w:rPr>
        <w:t>RD intermediate). To stimulate the biological reductive dechlorination, during the remediation activities, is often performed the direct injection of fermentable organic matter that provides the necessary hydrogen for the dechlorinating microbial communities</w:t>
      </w:r>
      <w:r w:rsidR="00BE7ACD">
        <w:rPr>
          <w:lang w:val="en-GB"/>
        </w:rPr>
        <w:t>.</w:t>
      </w:r>
      <w:r w:rsidR="00F16CED">
        <w:rPr>
          <w:lang w:val="en-GB"/>
        </w:rPr>
        <w:t xml:space="preserve"> Although this type of stimulation can establish competition for reduci</w:t>
      </w:r>
      <w:r w:rsidR="00AC7CAC">
        <w:rPr>
          <w:lang w:val="en-GB"/>
        </w:rPr>
        <w:t>ng</w:t>
      </w:r>
      <w:r w:rsidR="00F16CED">
        <w:rPr>
          <w:lang w:val="en-GB"/>
        </w:rPr>
        <w:t xml:space="preserve"> power between organohalide respiring bacteria and other microorganism as sulphate and nitrate reductor. </w:t>
      </w:r>
      <w:r w:rsidR="005C40B1">
        <w:rPr>
          <w:lang w:val="en-GB"/>
        </w:rPr>
        <w:t>Moreover,</w:t>
      </w:r>
      <w:r w:rsidR="00F16CED">
        <w:rPr>
          <w:lang w:val="en-GB"/>
        </w:rPr>
        <w:t xml:space="preserve"> the direct push of organic substances as Volatile fatty acids can generate the fracture of the subsoil and due to their low pH can l</w:t>
      </w:r>
      <w:r w:rsidR="005C40B1">
        <w:rPr>
          <w:lang w:val="en-GB"/>
        </w:rPr>
        <w:t>each metal species as Fe, Cr, Sb that can led to a secondary contamination.</w:t>
      </w:r>
      <w:r w:rsidR="00F16CED">
        <w:rPr>
          <w:lang w:val="en-GB"/>
        </w:rPr>
        <w:t xml:space="preserve"> </w:t>
      </w:r>
      <w:r w:rsidR="00BE7ACD">
        <w:rPr>
          <w:lang w:val="en-GB"/>
        </w:rPr>
        <w:t xml:space="preserve">An innovative approach is to provide the hydrogen thanks to bioelectrochemical systems (BES), systems in which peculiar electroactive microorganism </w:t>
      </w:r>
      <w:r w:rsidR="00302481">
        <w:rPr>
          <w:lang w:val="en-GB"/>
        </w:rPr>
        <w:t>interac</w:t>
      </w:r>
      <w:r w:rsidR="006B4B19">
        <w:rPr>
          <w:lang w:val="en-GB"/>
        </w:rPr>
        <w:t>t with solid states electrodes</w:t>
      </w:r>
      <w:r w:rsidR="00C83E0F">
        <w:rPr>
          <w:lang w:val="en-GB"/>
        </w:rPr>
        <w:t xml:space="preserve"> </w:t>
      </w:r>
      <w:r w:rsidR="0037550A">
        <w:rPr>
          <w:lang w:val="en-GB"/>
        </w:rPr>
        <w:t>(Rosembaum et al 2011)</w:t>
      </w:r>
      <w:r w:rsidR="006B4B19">
        <w:rPr>
          <w:lang w:val="en-GB"/>
        </w:rPr>
        <w:t xml:space="preserve">. </w:t>
      </w:r>
      <w:r w:rsidR="005C40B1">
        <w:rPr>
          <w:lang w:val="en-GB"/>
        </w:rPr>
        <w:t>The microbial electrolysis cell can stimulate selectively the activity of the microorganism able to perform the reductive dechlorination reaction controlling the cathode potential or the flowing current. The necessary presence of both a cathode and an anode can also generate a sequence of anaerobic and aerobic environment in which different type of dechlorination reaction can occur</w:t>
      </w:r>
      <w:r w:rsidR="0037550A">
        <w:rPr>
          <w:lang w:val="en-GB"/>
        </w:rPr>
        <w:t xml:space="preserve"> (Zhu et al 2022)</w:t>
      </w:r>
      <w:r w:rsidR="005C40B1">
        <w:rPr>
          <w:lang w:val="en-GB"/>
        </w:rPr>
        <w:t xml:space="preserve">. </w:t>
      </w:r>
      <w:r w:rsidR="006B4B19">
        <w:rPr>
          <w:lang w:val="en-GB"/>
        </w:rPr>
        <w:t xml:space="preserve">This study reports the results obtained in a tubular bioelectrochemical reactor with an innovative </w:t>
      </w:r>
      <w:r w:rsidR="00DA5A13">
        <w:rPr>
          <w:lang w:val="en-GB"/>
        </w:rPr>
        <w:t xml:space="preserve">membrane-less </w:t>
      </w:r>
      <w:r w:rsidR="006B4B19">
        <w:rPr>
          <w:lang w:val="en-GB"/>
        </w:rPr>
        <w:t>internal counterelectrode configuration for CAHs removal in different experimental conditions and with different contaminated feeding solutions.</w:t>
      </w:r>
    </w:p>
    <w:p w14:paraId="5741900F" w14:textId="4F49BBEE" w:rsidR="00453E24" w:rsidRDefault="00E0381A" w:rsidP="00453E24">
      <w:pPr>
        <w:pStyle w:val="CETHeading1"/>
      </w:pPr>
      <w:r>
        <w:t>Materials and Methods</w:t>
      </w:r>
    </w:p>
    <w:p w14:paraId="41F404CF" w14:textId="038FB411" w:rsidR="00F72C4F" w:rsidRDefault="00453E24" w:rsidP="00453E24">
      <w:pPr>
        <w:pStyle w:val="CETBodytext"/>
      </w:pPr>
      <w:r>
        <w:t>The</w:t>
      </w:r>
      <w:r w:rsidR="00502C65">
        <w:t xml:space="preserve"> reductive reactor is made by a tubular glass reactor with a volume of 8.24L, the working electrode</w:t>
      </w:r>
      <w:r w:rsidR="0005678B">
        <w:t xml:space="preserve"> is constituted by a </w:t>
      </w:r>
      <w:r w:rsidR="00502C65">
        <w:t xml:space="preserve">granular graphite bed </w:t>
      </w:r>
      <w:r w:rsidR="0005678B">
        <w:t>which ensure the dechlorinating biofilm formation on the electrodic material.</w:t>
      </w:r>
      <w:r w:rsidR="00502C65">
        <w:t xml:space="preserve"> The counter electrode is internal and is also made by granular graphite, the separation between the internal counterelectrode chamber and the external working electrode chamber is ensure</w:t>
      </w:r>
      <w:r w:rsidR="002F35C4">
        <w:t>d</w:t>
      </w:r>
      <w:r w:rsidR="00502C65">
        <w:t xml:space="preserve"> by a</w:t>
      </w:r>
      <w:r w:rsidR="001225E6">
        <w:t xml:space="preserve"> structure made by a plastic grid and a non-woven</w:t>
      </w:r>
      <w:r w:rsidR="00F72C4F">
        <w:t xml:space="preserve"> membrane. Three different feeding solutions were utilized in the reductive reactor: </w:t>
      </w:r>
    </w:p>
    <w:p w14:paraId="2561B05A" w14:textId="59E848FB" w:rsidR="00D65D90" w:rsidRDefault="00F72C4F" w:rsidP="003B63F5">
      <w:pPr>
        <w:pStyle w:val="CETBodytext"/>
        <w:numPr>
          <w:ilvl w:val="0"/>
          <w:numId w:val="24"/>
        </w:numPr>
      </w:pPr>
      <w:r>
        <w:t xml:space="preserve">A Mineral Medium (MM) made by </w:t>
      </w:r>
      <w:r w:rsidR="007A3D78">
        <w:t xml:space="preserve">1 g/L of NaCl, 0.5 g/L of </w:t>
      </w:r>
      <w:proofErr w:type="spellStart"/>
      <w:r w:rsidR="007A3D78">
        <w:t>MgCl</w:t>
      </w:r>
      <w:proofErr w:type="spellEnd"/>
      <w:r w:rsidR="00D65D90">
        <w:t>*6H</w:t>
      </w:r>
      <w:r w:rsidR="00D65D90" w:rsidRPr="00DA5A13">
        <w:rPr>
          <w:vertAlign w:val="subscript"/>
        </w:rPr>
        <w:t>2</w:t>
      </w:r>
      <w:r w:rsidR="00D65D90">
        <w:t>O, 0.2 g/L KH</w:t>
      </w:r>
      <w:r w:rsidR="00D65D90" w:rsidRPr="00DA5A13">
        <w:rPr>
          <w:vertAlign w:val="subscript"/>
        </w:rPr>
        <w:t>2</w:t>
      </w:r>
      <w:r w:rsidR="00D65D90">
        <w:t>PO</w:t>
      </w:r>
      <w:r w:rsidR="00D65D90" w:rsidRPr="00DA5A13">
        <w:rPr>
          <w:vertAlign w:val="subscript"/>
        </w:rPr>
        <w:t>4</w:t>
      </w:r>
      <w:r w:rsidR="00D65D90">
        <w:t>, 0.3 g/L NH</w:t>
      </w:r>
      <w:r w:rsidR="00D65D90" w:rsidRPr="00DA5A13">
        <w:rPr>
          <w:vertAlign w:val="subscript"/>
        </w:rPr>
        <w:t>4</w:t>
      </w:r>
      <w:r w:rsidR="00D65D90">
        <w:t xml:space="preserve">Cl, 0.3 </w:t>
      </w:r>
      <w:proofErr w:type="spellStart"/>
      <w:r w:rsidR="00D65D90">
        <w:t>KCl</w:t>
      </w:r>
      <w:proofErr w:type="spellEnd"/>
      <w:r w:rsidR="00D65D90">
        <w:t>, 0.015 CaCl</w:t>
      </w:r>
      <w:r w:rsidR="00D65D90" w:rsidRPr="00DA5A13">
        <w:rPr>
          <w:vertAlign w:val="subscript"/>
        </w:rPr>
        <w:t>2</w:t>
      </w:r>
      <w:r w:rsidR="00D65D90">
        <w:t>*2H</w:t>
      </w:r>
      <w:r w:rsidR="00D65D90" w:rsidRPr="00DA5A13">
        <w:rPr>
          <w:vertAlign w:val="subscript"/>
        </w:rPr>
        <w:t>2</w:t>
      </w:r>
      <w:r w:rsidR="00D65D90">
        <w:t>O, 0.05 g/L Na</w:t>
      </w:r>
      <w:r w:rsidR="00D65D90" w:rsidRPr="00DA5A13">
        <w:rPr>
          <w:vertAlign w:val="subscript"/>
        </w:rPr>
        <w:t>2</w:t>
      </w:r>
      <w:r w:rsidR="00D65D90">
        <w:t>S, 2.5 g/L NaHCO</w:t>
      </w:r>
      <w:r w:rsidR="00D65D90" w:rsidRPr="00DA5A13">
        <w:rPr>
          <w:vertAlign w:val="subscript"/>
        </w:rPr>
        <w:t>3</w:t>
      </w:r>
      <w:r w:rsidR="00D65D90">
        <w:t>, 10 mL/L of vitamin solution and 1 mL/L of metal solution</w:t>
      </w:r>
      <w:r w:rsidR="00555B38">
        <w:t xml:space="preserve"> </w:t>
      </w:r>
      <w:r w:rsidR="0037550A">
        <w:t>(Dell’Armi et al. 2021b)</w:t>
      </w:r>
      <w:r w:rsidR="00D65D90">
        <w:t>.</w:t>
      </w:r>
      <w:r w:rsidR="00DA5A13">
        <w:t xml:space="preserve"> </w:t>
      </w:r>
    </w:p>
    <w:p w14:paraId="05CF9A25" w14:textId="2DB2695D" w:rsidR="001023AD" w:rsidRDefault="00D65D90" w:rsidP="003B63F5">
      <w:pPr>
        <w:pStyle w:val="CETBodytext"/>
        <w:numPr>
          <w:ilvl w:val="0"/>
          <w:numId w:val="24"/>
        </w:numPr>
      </w:pPr>
      <w:r>
        <w:t xml:space="preserve">A Synthetic groundwater solution made by tap water as matrix and </w:t>
      </w:r>
      <w:r w:rsidR="001023AD">
        <w:t>460 mg/L of NaSO</w:t>
      </w:r>
      <w:r w:rsidR="001023AD" w:rsidRPr="00DA5A13">
        <w:rPr>
          <w:vertAlign w:val="subscript"/>
        </w:rPr>
        <w:t>4</w:t>
      </w:r>
      <w:r w:rsidR="001023AD">
        <w:t xml:space="preserve"> and 20 mg/L of NaNO</w:t>
      </w:r>
      <w:r w:rsidR="001023AD" w:rsidRPr="00DA5A13">
        <w:rPr>
          <w:vertAlign w:val="subscript"/>
        </w:rPr>
        <w:t>3</w:t>
      </w:r>
      <w:r w:rsidR="0037550A">
        <w:rPr>
          <w:vertAlign w:val="subscript"/>
        </w:rPr>
        <w:t xml:space="preserve"> </w:t>
      </w:r>
      <w:r w:rsidR="0037550A">
        <w:t>(Dell’Armi et al 2021a)</w:t>
      </w:r>
      <w:r w:rsidR="001023AD">
        <w:t xml:space="preserve">. </w:t>
      </w:r>
    </w:p>
    <w:p w14:paraId="008275ED" w14:textId="77777777" w:rsidR="001023AD" w:rsidRDefault="001023AD" w:rsidP="003B63F5">
      <w:pPr>
        <w:pStyle w:val="CETBodytext"/>
        <w:numPr>
          <w:ilvl w:val="0"/>
          <w:numId w:val="24"/>
        </w:numPr>
      </w:pPr>
      <w:r>
        <w:t>A real contaminated groundwater from a contaminated site in northern Italy.</w:t>
      </w:r>
    </w:p>
    <w:p w14:paraId="63892A6A" w14:textId="3CA2E705" w:rsidR="001023AD" w:rsidRDefault="001023AD" w:rsidP="00453E24">
      <w:pPr>
        <w:pStyle w:val="CETBodytext"/>
      </w:pPr>
      <w:r>
        <w:t xml:space="preserve">The first two synthetic solution were contaminated with a PCE </w:t>
      </w:r>
      <w:r w:rsidR="00DA5A13">
        <w:t>theoretical</w:t>
      </w:r>
      <w:r>
        <w:t xml:space="preserve"> concentration of 100 </w:t>
      </w:r>
      <w:r>
        <w:rPr>
          <w:rFonts w:cs="Arial"/>
        </w:rPr>
        <w:t>µ</w:t>
      </w:r>
      <w:r>
        <w:t>mol/L.</w:t>
      </w:r>
    </w:p>
    <w:p w14:paraId="123621C3" w14:textId="5A22F547" w:rsidR="00304D7E" w:rsidRDefault="001023AD" w:rsidP="00453E24">
      <w:pPr>
        <w:pStyle w:val="CETBodytext"/>
      </w:pPr>
      <w:r>
        <w:t>The</w:t>
      </w:r>
      <w:r w:rsidR="007B143A">
        <w:t xml:space="preserve"> polarization of the bioelectrochemical reactor was performed by a VSP potentiostat (Biologic</w:t>
      </w:r>
      <w:r w:rsidR="007B143A">
        <w:rPr>
          <w:rFonts w:cs="Arial"/>
        </w:rPr>
        <w:t>®</w:t>
      </w:r>
      <w:r w:rsidR="007B143A">
        <w:t xml:space="preserve">) which allowed the utilization of a </w:t>
      </w:r>
      <w:r w:rsidR="007E7879">
        <w:t>three-electrode</w:t>
      </w:r>
      <w:r w:rsidR="007B143A">
        <w:t xml:space="preserve"> polarization by the utilization of an Ag/AgCl electrode (3M KCl+0.199 V vs SHE)</w:t>
      </w:r>
      <w:r>
        <w:t>.</w:t>
      </w:r>
      <w:r w:rsidR="003B63F5">
        <w:t xml:space="preserve"> The different experimental setups are reported in table 1.</w:t>
      </w:r>
    </w:p>
    <w:p w14:paraId="276B1BAA" w14:textId="303367AA" w:rsidR="00E0381A" w:rsidRPr="00B57B36" w:rsidRDefault="00E0381A" w:rsidP="00E0381A">
      <w:pPr>
        <w:pStyle w:val="CETTabletitle"/>
      </w:pPr>
      <w:r w:rsidRPr="00B57B36">
        <w:t xml:space="preserve">Table 1: </w:t>
      </w:r>
      <w:r w:rsidR="007D04AE">
        <w:t>Principal explored condition in the reductive reactor.</w:t>
      </w:r>
    </w:p>
    <w:tbl>
      <w:tblPr>
        <w:tblW w:w="8817" w:type="dxa"/>
        <w:shd w:val="clear" w:color="auto" w:fill="FFFFFF"/>
        <w:tblLayout w:type="fixed"/>
        <w:tblCellMar>
          <w:left w:w="0" w:type="dxa"/>
          <w:right w:w="0" w:type="dxa"/>
        </w:tblCellMar>
        <w:tblLook w:val="00A0" w:firstRow="1" w:lastRow="0" w:firstColumn="1" w:lastColumn="0" w:noHBand="0" w:noVBand="0"/>
      </w:tblPr>
      <w:tblGrid>
        <w:gridCol w:w="1701"/>
        <w:gridCol w:w="704"/>
        <w:gridCol w:w="709"/>
        <w:gridCol w:w="709"/>
        <w:gridCol w:w="850"/>
        <w:gridCol w:w="567"/>
        <w:gridCol w:w="709"/>
        <w:gridCol w:w="425"/>
        <w:gridCol w:w="851"/>
        <w:gridCol w:w="1592"/>
      </w:tblGrid>
      <w:tr w:rsidR="00F4213D" w:rsidRPr="00B57B36" w14:paraId="713999A3" w14:textId="23331FCF" w:rsidTr="0005678B">
        <w:trPr>
          <w:trHeight w:val="455"/>
        </w:trPr>
        <w:tc>
          <w:tcPr>
            <w:tcW w:w="1701" w:type="dxa"/>
            <w:tcBorders>
              <w:top w:val="single" w:sz="12" w:space="0" w:color="auto"/>
              <w:bottom w:val="single" w:sz="12" w:space="0" w:color="auto"/>
            </w:tcBorders>
            <w:shd w:val="clear" w:color="auto" w:fill="FFFFFF"/>
            <w:vAlign w:val="center"/>
          </w:tcPr>
          <w:p w14:paraId="53110693" w14:textId="3AFBA3A7" w:rsidR="00F4213D" w:rsidRPr="00B57B36" w:rsidRDefault="00F4213D" w:rsidP="00087A8F">
            <w:pPr>
              <w:pStyle w:val="CETBodytext"/>
              <w:jc w:val="center"/>
              <w:rPr>
                <w:lang w:val="en-GB"/>
              </w:rPr>
            </w:pPr>
            <w:bookmarkStart w:id="0" w:name="_Hlk91597970"/>
          </w:p>
        </w:tc>
        <w:tc>
          <w:tcPr>
            <w:tcW w:w="7116" w:type="dxa"/>
            <w:gridSpan w:val="9"/>
            <w:tcBorders>
              <w:top w:val="single" w:sz="12" w:space="0" w:color="auto"/>
            </w:tcBorders>
            <w:shd w:val="clear" w:color="auto" w:fill="auto"/>
            <w:vAlign w:val="center"/>
          </w:tcPr>
          <w:p w14:paraId="7B58184B" w14:textId="1CD18E8A" w:rsidR="00F4213D" w:rsidRPr="00F4213D" w:rsidRDefault="00304D7E" w:rsidP="00087A8F">
            <w:pPr>
              <w:pStyle w:val="CETBodytext"/>
              <w:jc w:val="center"/>
              <w:rPr>
                <w:lang w:val="en-GB"/>
              </w:rPr>
            </w:pPr>
            <w:r>
              <w:rPr>
                <w:lang w:val="en-GB"/>
              </w:rPr>
              <w:t>Reductive Reactor</w:t>
            </w:r>
          </w:p>
        </w:tc>
      </w:tr>
      <w:tr w:rsidR="00087A8F" w:rsidRPr="00B57B36" w14:paraId="521F9E38" w14:textId="77777777" w:rsidTr="0005678B">
        <w:tc>
          <w:tcPr>
            <w:tcW w:w="1701" w:type="dxa"/>
            <w:tcBorders>
              <w:top w:val="single" w:sz="12" w:space="0" w:color="auto"/>
            </w:tcBorders>
            <w:shd w:val="clear" w:color="auto" w:fill="FFFFFF"/>
            <w:vAlign w:val="center"/>
          </w:tcPr>
          <w:p w14:paraId="18D9E601" w14:textId="5C87CF22" w:rsidR="00087A8F" w:rsidRDefault="00087A8F" w:rsidP="00087A8F">
            <w:pPr>
              <w:pStyle w:val="CETBodytext"/>
              <w:jc w:val="center"/>
              <w:rPr>
                <w:lang w:val="en-GB"/>
              </w:rPr>
            </w:pPr>
            <w:r>
              <w:rPr>
                <w:rFonts w:cs="Arial"/>
                <w:szCs w:val="18"/>
                <w:lang w:val="en-GB"/>
              </w:rPr>
              <w:t>Feeding Solution</w:t>
            </w:r>
          </w:p>
        </w:tc>
        <w:tc>
          <w:tcPr>
            <w:tcW w:w="2122" w:type="dxa"/>
            <w:gridSpan w:val="3"/>
            <w:tcBorders>
              <w:top w:val="single" w:sz="12" w:space="0" w:color="auto"/>
            </w:tcBorders>
            <w:shd w:val="clear" w:color="auto" w:fill="auto"/>
            <w:vAlign w:val="center"/>
          </w:tcPr>
          <w:p w14:paraId="35BEFE90" w14:textId="27756322" w:rsidR="00087A8F" w:rsidRPr="00087A8F" w:rsidRDefault="00087A8F" w:rsidP="00087A8F">
            <w:pPr>
              <w:pStyle w:val="CETBodytext"/>
              <w:jc w:val="center"/>
              <w:rPr>
                <w:szCs w:val="18"/>
                <w:lang w:val="en-GB"/>
              </w:rPr>
            </w:pPr>
            <w:r w:rsidRPr="00087A8F">
              <w:rPr>
                <w:rFonts w:cs="Arial"/>
                <w:szCs w:val="18"/>
                <w:lang w:val="en-GB"/>
              </w:rPr>
              <w:t>Mineral Medium</w:t>
            </w:r>
          </w:p>
        </w:tc>
        <w:tc>
          <w:tcPr>
            <w:tcW w:w="3402" w:type="dxa"/>
            <w:gridSpan w:val="5"/>
            <w:tcBorders>
              <w:top w:val="single" w:sz="12" w:space="0" w:color="auto"/>
            </w:tcBorders>
            <w:shd w:val="clear" w:color="auto" w:fill="auto"/>
            <w:vAlign w:val="center"/>
          </w:tcPr>
          <w:p w14:paraId="7A6F5DF3" w14:textId="7017D4AD" w:rsidR="00087A8F" w:rsidRPr="00087A8F" w:rsidRDefault="00087A8F" w:rsidP="00087A8F">
            <w:pPr>
              <w:pStyle w:val="CETBodytext"/>
              <w:jc w:val="center"/>
              <w:rPr>
                <w:szCs w:val="18"/>
                <w:lang w:val="en-GB"/>
              </w:rPr>
            </w:pPr>
            <w:r w:rsidRPr="00087A8F">
              <w:rPr>
                <w:rFonts w:cs="Arial"/>
                <w:szCs w:val="18"/>
                <w:lang w:val="en-GB"/>
              </w:rPr>
              <w:t>Synthetic Groundwater</w:t>
            </w:r>
          </w:p>
        </w:tc>
        <w:tc>
          <w:tcPr>
            <w:tcW w:w="1592" w:type="dxa"/>
            <w:tcBorders>
              <w:top w:val="single" w:sz="12" w:space="0" w:color="auto"/>
            </w:tcBorders>
            <w:shd w:val="clear" w:color="auto" w:fill="auto"/>
            <w:vAlign w:val="center"/>
          </w:tcPr>
          <w:p w14:paraId="7A59625E" w14:textId="046EFE0E" w:rsidR="00087A8F" w:rsidRPr="00087A8F" w:rsidRDefault="00087A8F" w:rsidP="00087A8F">
            <w:pPr>
              <w:pStyle w:val="CETBodytext"/>
              <w:jc w:val="center"/>
              <w:rPr>
                <w:szCs w:val="18"/>
                <w:lang w:val="en-GB"/>
              </w:rPr>
            </w:pPr>
            <w:r w:rsidRPr="00087A8F">
              <w:rPr>
                <w:rFonts w:cs="Arial"/>
                <w:szCs w:val="18"/>
                <w:lang w:val="en-GB"/>
              </w:rPr>
              <w:t>Real Groundwater</w:t>
            </w:r>
          </w:p>
        </w:tc>
      </w:tr>
      <w:tr w:rsidR="00377C7A" w:rsidRPr="00B57B36" w14:paraId="13AD292D" w14:textId="7DA8FC1D" w:rsidTr="0005678B">
        <w:tc>
          <w:tcPr>
            <w:tcW w:w="1701" w:type="dxa"/>
            <w:shd w:val="clear" w:color="auto" w:fill="FFFFFF"/>
            <w:vAlign w:val="center"/>
          </w:tcPr>
          <w:p w14:paraId="49C7FF6B" w14:textId="30525496" w:rsidR="00377C7A" w:rsidRPr="00B57B36" w:rsidRDefault="00377C7A" w:rsidP="00087A8F">
            <w:pPr>
              <w:pStyle w:val="CETBodytext"/>
              <w:jc w:val="center"/>
              <w:rPr>
                <w:lang w:val="en-GB"/>
              </w:rPr>
            </w:pPr>
            <w:r>
              <w:rPr>
                <w:lang w:val="en-GB"/>
              </w:rPr>
              <w:t>Applied Potential (mV vs SHE)</w:t>
            </w:r>
          </w:p>
        </w:tc>
        <w:tc>
          <w:tcPr>
            <w:tcW w:w="704" w:type="dxa"/>
            <w:shd w:val="clear" w:color="auto" w:fill="FFFFFF"/>
            <w:vAlign w:val="center"/>
          </w:tcPr>
          <w:p w14:paraId="189E99CB" w14:textId="29283E8D" w:rsidR="00377C7A" w:rsidRPr="00B57B36" w:rsidRDefault="00377C7A" w:rsidP="00087A8F">
            <w:pPr>
              <w:pStyle w:val="CETBodytext"/>
              <w:jc w:val="center"/>
              <w:rPr>
                <w:lang w:val="en-GB"/>
              </w:rPr>
            </w:pPr>
            <w:r>
              <w:rPr>
                <w:lang w:val="en-GB"/>
              </w:rPr>
              <w:t>-450</w:t>
            </w:r>
          </w:p>
        </w:tc>
        <w:tc>
          <w:tcPr>
            <w:tcW w:w="709" w:type="dxa"/>
            <w:shd w:val="clear" w:color="auto" w:fill="FFFFFF"/>
            <w:vAlign w:val="center"/>
          </w:tcPr>
          <w:p w14:paraId="177EC622" w14:textId="3F2C0EA5" w:rsidR="00377C7A" w:rsidRPr="00B57B36" w:rsidRDefault="00377C7A" w:rsidP="00087A8F">
            <w:pPr>
              <w:pStyle w:val="CETBodytext"/>
              <w:jc w:val="center"/>
              <w:rPr>
                <w:lang w:val="en-GB"/>
              </w:rPr>
            </w:pPr>
            <w:r>
              <w:rPr>
                <w:lang w:val="en-GB"/>
              </w:rPr>
              <w:t>-350</w:t>
            </w:r>
          </w:p>
        </w:tc>
        <w:tc>
          <w:tcPr>
            <w:tcW w:w="709" w:type="dxa"/>
            <w:shd w:val="clear" w:color="auto" w:fill="FFFFFF"/>
            <w:vAlign w:val="center"/>
          </w:tcPr>
          <w:p w14:paraId="7583C178" w14:textId="7C2C92A8" w:rsidR="00377C7A" w:rsidRPr="00B57B36" w:rsidRDefault="00377C7A" w:rsidP="00087A8F">
            <w:pPr>
              <w:pStyle w:val="CETBodytext"/>
              <w:ind w:right="-1"/>
              <w:jc w:val="center"/>
              <w:rPr>
                <w:rFonts w:cs="Arial"/>
                <w:szCs w:val="18"/>
                <w:lang w:val="en-GB"/>
              </w:rPr>
            </w:pPr>
            <w:r>
              <w:rPr>
                <w:rFonts w:cs="Arial"/>
                <w:szCs w:val="18"/>
                <w:lang w:val="en-GB"/>
              </w:rPr>
              <w:t>-550</w:t>
            </w:r>
          </w:p>
        </w:tc>
        <w:tc>
          <w:tcPr>
            <w:tcW w:w="850" w:type="dxa"/>
            <w:shd w:val="clear" w:color="auto" w:fill="FFFFFF"/>
            <w:vAlign w:val="center"/>
          </w:tcPr>
          <w:p w14:paraId="27BD8A26" w14:textId="4B723E52" w:rsidR="00377C7A" w:rsidRPr="00B57B36" w:rsidRDefault="00377C7A" w:rsidP="00087A8F">
            <w:pPr>
              <w:pStyle w:val="CETBodytext"/>
              <w:ind w:right="-1"/>
              <w:jc w:val="center"/>
              <w:rPr>
                <w:rFonts w:cs="Arial"/>
                <w:szCs w:val="18"/>
                <w:lang w:val="en-GB"/>
              </w:rPr>
            </w:pPr>
            <w:r>
              <w:rPr>
                <w:rFonts w:cs="Arial"/>
                <w:szCs w:val="18"/>
                <w:lang w:val="en-GB"/>
              </w:rPr>
              <w:t>-350</w:t>
            </w:r>
          </w:p>
        </w:tc>
        <w:tc>
          <w:tcPr>
            <w:tcW w:w="1701" w:type="dxa"/>
            <w:gridSpan w:val="3"/>
            <w:shd w:val="clear" w:color="auto" w:fill="FFFFFF"/>
            <w:vAlign w:val="center"/>
          </w:tcPr>
          <w:p w14:paraId="7BC093F4" w14:textId="1046DF46" w:rsidR="00377C7A" w:rsidRPr="00B57B36" w:rsidRDefault="00377C7A" w:rsidP="00087A8F">
            <w:pPr>
              <w:pStyle w:val="CETBodytext"/>
              <w:ind w:right="-1"/>
              <w:jc w:val="center"/>
              <w:rPr>
                <w:rFonts w:cs="Arial"/>
                <w:szCs w:val="18"/>
                <w:lang w:val="en-GB"/>
              </w:rPr>
            </w:pPr>
            <w:r>
              <w:rPr>
                <w:rFonts w:cs="Arial"/>
                <w:szCs w:val="18"/>
                <w:lang w:val="en-GB"/>
              </w:rPr>
              <w:t>-450</w:t>
            </w:r>
          </w:p>
        </w:tc>
        <w:tc>
          <w:tcPr>
            <w:tcW w:w="851" w:type="dxa"/>
            <w:shd w:val="clear" w:color="auto" w:fill="FFFFFF"/>
            <w:vAlign w:val="center"/>
          </w:tcPr>
          <w:p w14:paraId="2D970284" w14:textId="258194DE" w:rsidR="00377C7A" w:rsidRPr="00B57B36" w:rsidRDefault="00377C7A" w:rsidP="00087A8F">
            <w:pPr>
              <w:pStyle w:val="CETBodytext"/>
              <w:ind w:right="-1"/>
              <w:jc w:val="center"/>
              <w:rPr>
                <w:rFonts w:cs="Arial"/>
                <w:szCs w:val="18"/>
                <w:lang w:val="en-GB"/>
              </w:rPr>
            </w:pPr>
            <w:r>
              <w:rPr>
                <w:rFonts w:cs="Arial"/>
                <w:szCs w:val="18"/>
                <w:lang w:val="en-GB"/>
              </w:rPr>
              <w:t>-650</w:t>
            </w:r>
          </w:p>
        </w:tc>
        <w:tc>
          <w:tcPr>
            <w:tcW w:w="1592" w:type="dxa"/>
            <w:shd w:val="clear" w:color="auto" w:fill="FFFFFF"/>
            <w:vAlign w:val="center"/>
          </w:tcPr>
          <w:p w14:paraId="56DCE2F0" w14:textId="632F1E22" w:rsidR="00377C7A" w:rsidRPr="00B57B36" w:rsidRDefault="00377C7A" w:rsidP="00087A8F">
            <w:pPr>
              <w:pStyle w:val="CETBodytext"/>
              <w:ind w:right="-1"/>
              <w:jc w:val="center"/>
              <w:rPr>
                <w:rFonts w:cs="Arial"/>
                <w:szCs w:val="18"/>
                <w:lang w:val="en-GB"/>
              </w:rPr>
            </w:pPr>
            <w:r>
              <w:rPr>
                <w:rFonts w:cs="Arial"/>
                <w:szCs w:val="18"/>
                <w:lang w:val="en-GB"/>
              </w:rPr>
              <w:t>-450</w:t>
            </w:r>
          </w:p>
        </w:tc>
      </w:tr>
      <w:tr w:rsidR="00087A8F" w:rsidRPr="00B57B36" w14:paraId="03EBE725" w14:textId="1E174078" w:rsidTr="0005678B">
        <w:tc>
          <w:tcPr>
            <w:tcW w:w="1701" w:type="dxa"/>
            <w:tcBorders>
              <w:bottom w:val="single" w:sz="4" w:space="0" w:color="auto"/>
            </w:tcBorders>
            <w:shd w:val="clear" w:color="auto" w:fill="FFFFFF"/>
            <w:vAlign w:val="center"/>
          </w:tcPr>
          <w:p w14:paraId="1DCA2D63" w14:textId="090C690D" w:rsidR="00377C7A" w:rsidRPr="00B57B36" w:rsidRDefault="00377C7A" w:rsidP="00087A8F">
            <w:pPr>
              <w:pStyle w:val="CETBodytext"/>
              <w:ind w:right="-1"/>
              <w:jc w:val="center"/>
              <w:rPr>
                <w:rFonts w:cs="Arial"/>
                <w:szCs w:val="18"/>
                <w:lang w:val="en-GB"/>
              </w:rPr>
            </w:pPr>
            <w:r>
              <w:rPr>
                <w:rFonts w:cs="Arial"/>
                <w:szCs w:val="18"/>
                <w:lang w:val="en-GB"/>
              </w:rPr>
              <w:t>Hydraulic Retention Time</w:t>
            </w:r>
            <w:r w:rsidR="00087A8F">
              <w:rPr>
                <w:rFonts w:cs="Arial"/>
                <w:szCs w:val="18"/>
                <w:lang w:val="en-GB"/>
              </w:rPr>
              <w:t>, HRT</w:t>
            </w:r>
            <w:r>
              <w:rPr>
                <w:rFonts w:cs="Arial"/>
                <w:szCs w:val="18"/>
                <w:lang w:val="en-GB"/>
              </w:rPr>
              <w:t xml:space="preserve"> (d)</w:t>
            </w:r>
          </w:p>
        </w:tc>
        <w:tc>
          <w:tcPr>
            <w:tcW w:w="2122" w:type="dxa"/>
            <w:gridSpan w:val="3"/>
            <w:tcBorders>
              <w:bottom w:val="single" w:sz="4" w:space="0" w:color="auto"/>
            </w:tcBorders>
            <w:shd w:val="clear" w:color="auto" w:fill="FFFFFF"/>
            <w:vAlign w:val="center"/>
          </w:tcPr>
          <w:p w14:paraId="69287583" w14:textId="7B9BFBCB" w:rsidR="00377C7A" w:rsidRPr="00B57B36" w:rsidRDefault="00784AD1" w:rsidP="00087A8F">
            <w:pPr>
              <w:pStyle w:val="CETBodytext"/>
              <w:ind w:right="-1"/>
              <w:jc w:val="center"/>
              <w:rPr>
                <w:rFonts w:cs="Arial"/>
                <w:szCs w:val="18"/>
                <w:lang w:val="en-GB"/>
              </w:rPr>
            </w:pPr>
            <w:r>
              <w:rPr>
                <w:rFonts w:cs="Arial"/>
                <w:szCs w:val="18"/>
                <w:lang w:val="en-GB"/>
              </w:rPr>
              <w:t>4</w:t>
            </w:r>
            <w:r w:rsidR="00377C7A">
              <w:rPr>
                <w:rFonts w:cs="Arial"/>
                <w:szCs w:val="18"/>
                <w:lang w:val="en-GB"/>
              </w:rPr>
              <w:t>.1</w:t>
            </w:r>
          </w:p>
        </w:tc>
        <w:tc>
          <w:tcPr>
            <w:tcW w:w="850" w:type="dxa"/>
            <w:tcBorders>
              <w:bottom w:val="single" w:sz="4" w:space="0" w:color="auto"/>
            </w:tcBorders>
            <w:shd w:val="clear" w:color="auto" w:fill="FFFFFF"/>
            <w:vAlign w:val="center"/>
          </w:tcPr>
          <w:p w14:paraId="2AADBCE5" w14:textId="344FB02B" w:rsidR="00377C7A" w:rsidRPr="00B57B36" w:rsidRDefault="00377C7A" w:rsidP="00087A8F">
            <w:pPr>
              <w:pStyle w:val="CETBodytext"/>
              <w:ind w:right="-1"/>
              <w:jc w:val="center"/>
              <w:rPr>
                <w:rFonts w:cs="Arial"/>
                <w:szCs w:val="18"/>
                <w:lang w:val="en-GB"/>
              </w:rPr>
            </w:pPr>
            <w:r>
              <w:rPr>
                <w:rFonts w:cs="Arial"/>
                <w:szCs w:val="18"/>
                <w:lang w:val="en-GB"/>
              </w:rPr>
              <w:t>1.8</w:t>
            </w:r>
          </w:p>
        </w:tc>
        <w:tc>
          <w:tcPr>
            <w:tcW w:w="567" w:type="dxa"/>
            <w:tcBorders>
              <w:bottom w:val="single" w:sz="4" w:space="0" w:color="auto"/>
            </w:tcBorders>
            <w:shd w:val="clear" w:color="auto" w:fill="FFFFFF"/>
            <w:vAlign w:val="center"/>
          </w:tcPr>
          <w:p w14:paraId="50310725" w14:textId="679482F4" w:rsidR="00377C7A" w:rsidRPr="00B57B36" w:rsidRDefault="00784AD1" w:rsidP="00087A8F">
            <w:pPr>
              <w:pStyle w:val="CETBodytext"/>
              <w:ind w:right="-1"/>
              <w:jc w:val="center"/>
              <w:rPr>
                <w:rFonts w:cs="Arial"/>
                <w:szCs w:val="18"/>
                <w:lang w:val="en-GB"/>
              </w:rPr>
            </w:pPr>
            <w:r>
              <w:rPr>
                <w:rFonts w:cs="Arial"/>
                <w:szCs w:val="18"/>
                <w:lang w:val="en-GB"/>
              </w:rPr>
              <w:t>4</w:t>
            </w:r>
            <w:r w:rsidR="00377C7A">
              <w:rPr>
                <w:rFonts w:cs="Arial"/>
                <w:szCs w:val="18"/>
                <w:lang w:val="en-GB"/>
              </w:rPr>
              <w:t>.1</w:t>
            </w:r>
          </w:p>
        </w:tc>
        <w:tc>
          <w:tcPr>
            <w:tcW w:w="709" w:type="dxa"/>
            <w:tcBorders>
              <w:bottom w:val="single" w:sz="4" w:space="0" w:color="auto"/>
            </w:tcBorders>
            <w:shd w:val="clear" w:color="auto" w:fill="FFFFFF"/>
            <w:vAlign w:val="center"/>
          </w:tcPr>
          <w:p w14:paraId="5787E348" w14:textId="28CE272C" w:rsidR="00377C7A" w:rsidRPr="00B57B36" w:rsidRDefault="00377C7A" w:rsidP="00087A8F">
            <w:pPr>
              <w:pStyle w:val="CETBodytext"/>
              <w:ind w:right="-1"/>
              <w:jc w:val="center"/>
              <w:rPr>
                <w:rFonts w:cs="Arial"/>
                <w:szCs w:val="18"/>
                <w:lang w:val="en-GB"/>
              </w:rPr>
            </w:pPr>
            <w:r>
              <w:rPr>
                <w:rFonts w:cs="Arial"/>
                <w:szCs w:val="18"/>
                <w:lang w:val="en-GB"/>
              </w:rPr>
              <w:t>1.8</w:t>
            </w:r>
          </w:p>
        </w:tc>
        <w:tc>
          <w:tcPr>
            <w:tcW w:w="425" w:type="dxa"/>
            <w:tcBorders>
              <w:bottom w:val="single" w:sz="4" w:space="0" w:color="auto"/>
            </w:tcBorders>
            <w:shd w:val="clear" w:color="auto" w:fill="FFFFFF"/>
            <w:vAlign w:val="center"/>
          </w:tcPr>
          <w:p w14:paraId="4089BE99" w14:textId="07B87121" w:rsidR="00377C7A" w:rsidRPr="00B57B36" w:rsidRDefault="00377C7A" w:rsidP="00087A8F">
            <w:pPr>
              <w:pStyle w:val="CETBodytext"/>
              <w:ind w:right="-1"/>
              <w:jc w:val="center"/>
              <w:rPr>
                <w:rFonts w:cs="Arial"/>
                <w:szCs w:val="18"/>
                <w:lang w:val="en-GB"/>
              </w:rPr>
            </w:pPr>
            <w:r>
              <w:rPr>
                <w:rFonts w:cs="Arial"/>
                <w:szCs w:val="18"/>
                <w:lang w:val="en-GB"/>
              </w:rPr>
              <w:t>1.2</w:t>
            </w:r>
          </w:p>
        </w:tc>
        <w:tc>
          <w:tcPr>
            <w:tcW w:w="851" w:type="dxa"/>
            <w:tcBorders>
              <w:bottom w:val="single" w:sz="4" w:space="0" w:color="auto"/>
            </w:tcBorders>
            <w:shd w:val="clear" w:color="auto" w:fill="FFFFFF"/>
            <w:vAlign w:val="center"/>
          </w:tcPr>
          <w:p w14:paraId="5443B472" w14:textId="0F5ED640" w:rsidR="00377C7A" w:rsidRPr="00B57B36" w:rsidRDefault="00377C7A" w:rsidP="00087A8F">
            <w:pPr>
              <w:pStyle w:val="CETBodytext"/>
              <w:ind w:right="-1"/>
              <w:jc w:val="center"/>
              <w:rPr>
                <w:rFonts w:cs="Arial"/>
                <w:szCs w:val="18"/>
                <w:lang w:val="en-GB"/>
              </w:rPr>
            </w:pPr>
            <w:r>
              <w:rPr>
                <w:rFonts w:cs="Arial"/>
                <w:szCs w:val="18"/>
                <w:lang w:val="en-GB"/>
              </w:rPr>
              <w:t>1.8</w:t>
            </w:r>
          </w:p>
        </w:tc>
        <w:tc>
          <w:tcPr>
            <w:tcW w:w="1592" w:type="dxa"/>
            <w:tcBorders>
              <w:bottom w:val="single" w:sz="4" w:space="0" w:color="auto"/>
            </w:tcBorders>
            <w:shd w:val="clear" w:color="auto" w:fill="FFFFFF"/>
            <w:vAlign w:val="center"/>
          </w:tcPr>
          <w:p w14:paraId="7D10F715" w14:textId="073D4C86" w:rsidR="00377C7A" w:rsidRPr="00B57B36" w:rsidRDefault="00377C7A" w:rsidP="00087A8F">
            <w:pPr>
              <w:pStyle w:val="CETBodytext"/>
              <w:ind w:right="-1"/>
              <w:jc w:val="center"/>
              <w:rPr>
                <w:rFonts w:cs="Arial"/>
                <w:szCs w:val="18"/>
                <w:lang w:val="en-GB"/>
              </w:rPr>
            </w:pPr>
            <w:r>
              <w:rPr>
                <w:rFonts w:cs="Arial"/>
                <w:szCs w:val="18"/>
                <w:lang w:val="en-GB"/>
              </w:rPr>
              <w:t>1.8</w:t>
            </w:r>
          </w:p>
        </w:tc>
      </w:tr>
      <w:bookmarkEnd w:id="0"/>
    </w:tbl>
    <w:p w14:paraId="2CF050DB" w14:textId="77777777" w:rsidR="00A04FEA" w:rsidRDefault="00A04FEA" w:rsidP="00A04FEA">
      <w:pPr>
        <w:pStyle w:val="CETheadingx"/>
        <w:numPr>
          <w:ilvl w:val="0"/>
          <w:numId w:val="0"/>
        </w:numPr>
      </w:pPr>
    </w:p>
    <w:p w14:paraId="0636B784" w14:textId="55C038B9" w:rsidR="00453E24" w:rsidRPr="00A04FEA" w:rsidRDefault="00A04FEA" w:rsidP="00A04FEA">
      <w:pPr>
        <w:pStyle w:val="CETHeading1"/>
        <w:numPr>
          <w:ilvl w:val="0"/>
          <w:numId w:val="0"/>
        </w:numPr>
        <w:tabs>
          <w:tab w:val="right" w:pos="7100"/>
        </w:tabs>
        <w:jc w:val="both"/>
        <w:rPr>
          <w:lang w:val="en-GB"/>
        </w:rPr>
      </w:pPr>
      <w:r w:rsidRPr="00A04FEA">
        <w:rPr>
          <w:lang w:val="en-GB"/>
        </w:rPr>
        <w:t xml:space="preserve">2.1 </w:t>
      </w:r>
      <w:r w:rsidR="003C54BE" w:rsidRPr="00A04FEA">
        <w:rPr>
          <w:lang w:val="en-GB"/>
        </w:rPr>
        <w:t xml:space="preserve">Analytical Methods </w:t>
      </w:r>
    </w:p>
    <w:p w14:paraId="2AA8474D" w14:textId="71B616A1" w:rsidR="005D3F5A" w:rsidRDefault="003C54BE" w:rsidP="005D3F5A">
      <w:pPr>
        <w:pStyle w:val="CETBodytext"/>
      </w:pPr>
      <w:r>
        <w:t xml:space="preserve">The </w:t>
      </w:r>
      <w:r w:rsidR="0005678B">
        <w:t>c</w:t>
      </w:r>
      <w:r>
        <w:t xml:space="preserve">hlorinated </w:t>
      </w:r>
      <w:r w:rsidR="0005678B">
        <w:t>a</w:t>
      </w:r>
      <w:r>
        <w:t xml:space="preserve">liphatic </w:t>
      </w:r>
      <w:r w:rsidR="0005678B">
        <w:t>h</w:t>
      </w:r>
      <w:r>
        <w:t xml:space="preserve">ydrocarbons as </w:t>
      </w:r>
      <w:r w:rsidR="0005678B">
        <w:t>p</w:t>
      </w:r>
      <w:r>
        <w:t>erchloroethylene</w:t>
      </w:r>
      <w:r w:rsidR="004B5B5B">
        <w:t xml:space="preserve"> (PCE)</w:t>
      </w:r>
      <w:r>
        <w:t xml:space="preserve">, </w:t>
      </w:r>
      <w:r w:rsidR="0005678B">
        <w:t>t</w:t>
      </w:r>
      <w:r>
        <w:t>richloroethylene</w:t>
      </w:r>
      <w:r w:rsidR="004B5B5B">
        <w:t xml:space="preserve"> (TCE)</w:t>
      </w:r>
      <w:r>
        <w:t>, cis-</w:t>
      </w:r>
      <w:r w:rsidR="0005678B">
        <w:t>d</w:t>
      </w:r>
      <w:r>
        <w:t>ichloroethylene</w:t>
      </w:r>
      <w:r w:rsidR="004B5B5B">
        <w:t xml:space="preserve"> (</w:t>
      </w:r>
      <w:proofErr w:type="spellStart"/>
      <w:r w:rsidR="004B5B5B">
        <w:t>cDCE</w:t>
      </w:r>
      <w:proofErr w:type="spellEnd"/>
      <w:r w:rsidR="004B5B5B">
        <w:t>)</w:t>
      </w:r>
      <w:r>
        <w:t xml:space="preserve"> and</w:t>
      </w:r>
      <w:r w:rsidR="0005678B">
        <w:t xml:space="preserve"> v</w:t>
      </w:r>
      <w:r>
        <w:t xml:space="preserve">inyl </w:t>
      </w:r>
      <w:r w:rsidR="0005678B">
        <w:t>c</w:t>
      </w:r>
      <w:r>
        <w:t>hloride</w:t>
      </w:r>
      <w:r w:rsidR="004B5B5B">
        <w:t xml:space="preserve"> (VC)</w:t>
      </w:r>
      <w:r>
        <w:t xml:space="preserve"> together with </w:t>
      </w:r>
      <w:r w:rsidR="0005678B">
        <w:t>m</w:t>
      </w:r>
      <w:r>
        <w:t>ethan</w:t>
      </w:r>
      <w:r w:rsidR="004B5B5B">
        <w:t>e ethylene and ethane were quantified with a gas</w:t>
      </w:r>
      <w:r w:rsidR="008E02DE">
        <w:t xml:space="preserve"> </w:t>
      </w:r>
      <w:r w:rsidR="004B5B5B">
        <w:t>cromatograph Dani-Master equipped with a flame ionization detector for the period</w:t>
      </w:r>
      <w:r w:rsidR="008F5755">
        <w:t>s</w:t>
      </w:r>
      <w:r w:rsidR="004B5B5B">
        <w:t xml:space="preserve"> with the synthetic feeding solutions.</w:t>
      </w:r>
      <w:r w:rsidR="00726D45" w:rsidRPr="00726D45">
        <w:rPr>
          <w:lang w:val="en-GB"/>
        </w:rPr>
        <w:t xml:space="preserve"> </w:t>
      </w:r>
      <w:r w:rsidR="00726D45">
        <w:rPr>
          <w:lang w:val="en-GB"/>
        </w:rPr>
        <w:t xml:space="preserve">Due the extremely low concentration of the CAHs in the real groundwater for the determination is used a gas chromatograph (DANI Instruments, </w:t>
      </w:r>
      <w:proofErr w:type="spellStart"/>
      <w:r w:rsidR="00726D45">
        <w:rPr>
          <w:lang w:val="en-GB"/>
        </w:rPr>
        <w:t>Contone</w:t>
      </w:r>
      <w:proofErr w:type="spellEnd"/>
      <w:r w:rsidR="00726D45">
        <w:rPr>
          <w:lang w:val="en-GB"/>
        </w:rPr>
        <w:t>, Switzerland)</w:t>
      </w:r>
      <w:r w:rsidR="00726D45">
        <w:rPr>
          <w:rFonts w:cs="Arial"/>
          <w:color w:val="222222"/>
          <w:sz w:val="20"/>
          <w:shd w:val="clear" w:color="auto" w:fill="FFFFFF"/>
        </w:rPr>
        <w:t xml:space="preserve"> </w:t>
      </w:r>
      <w:r w:rsidR="00726D45">
        <w:rPr>
          <w:lang w:val="en-GB"/>
        </w:rPr>
        <w:t xml:space="preserve">with Head Space autosampler equipped with </w:t>
      </w:r>
      <w:r w:rsidR="001B193C">
        <w:rPr>
          <w:lang w:val="en-GB"/>
        </w:rPr>
        <w:t>an</w:t>
      </w:r>
      <w:r w:rsidR="00726D45">
        <w:rPr>
          <w:lang w:val="en-GB"/>
        </w:rPr>
        <w:t xml:space="preserve"> FID (Flame Ionization Detector).</w:t>
      </w:r>
      <w:r w:rsidR="008F5755">
        <w:t xml:space="preserve"> The sulphate and nitrate were quantified with an ion </w:t>
      </w:r>
      <w:proofErr w:type="spellStart"/>
      <w:r w:rsidR="008F5755">
        <w:t>cromatograph</w:t>
      </w:r>
      <w:proofErr w:type="spellEnd"/>
      <w:r w:rsidR="008F5755">
        <w:t xml:space="preserve"> (</w:t>
      </w:r>
      <w:proofErr w:type="spellStart"/>
      <w:r w:rsidR="008F5755">
        <w:t>Dionex</w:t>
      </w:r>
      <w:proofErr w:type="spellEnd"/>
      <w:r w:rsidR="008F5755">
        <w:t xml:space="preserve"> ICS-1000 IC, Sunnyvale, California) equipped with a conductivity detector and the Fe</w:t>
      </w:r>
      <w:r w:rsidR="008F5755" w:rsidRPr="0037550A">
        <w:rPr>
          <w:vertAlign w:val="superscript"/>
        </w:rPr>
        <w:t>3+</w:t>
      </w:r>
      <w:r w:rsidR="008F5755">
        <w:t xml:space="preserve"> was quantified with</w:t>
      </w:r>
      <w:r w:rsidR="001B193C">
        <w:t xml:space="preserve"> a </w:t>
      </w:r>
      <w:proofErr w:type="spellStart"/>
      <w:r w:rsidR="001B193C">
        <w:t>Nanocolor</w:t>
      </w:r>
      <w:proofErr w:type="spellEnd"/>
      <w:r w:rsidR="001B193C">
        <w:t>® colorimetric kit with a concentration range of 0.02-3.00 mg/L Fe and was then analyzed on a Shimadzu spectrophotometer with a wavelength set at 54</w:t>
      </w:r>
      <w:r w:rsidR="00802CC7">
        <w:t>0.</w:t>
      </w:r>
    </w:p>
    <w:p w14:paraId="4EDC8696" w14:textId="6E25983D" w:rsidR="00453E24" w:rsidRPr="005D3F5A" w:rsidRDefault="005D3F5A" w:rsidP="005D3F5A">
      <w:pPr>
        <w:pStyle w:val="CETHeading1"/>
        <w:numPr>
          <w:ilvl w:val="0"/>
          <w:numId w:val="0"/>
        </w:numPr>
        <w:tabs>
          <w:tab w:val="right" w:pos="7100"/>
        </w:tabs>
        <w:jc w:val="both"/>
        <w:rPr>
          <w:lang w:val="en-GB"/>
        </w:rPr>
      </w:pPr>
      <w:r w:rsidRPr="005D3F5A">
        <w:rPr>
          <w:lang w:val="en-GB"/>
        </w:rPr>
        <w:lastRenderedPageBreak/>
        <w:t xml:space="preserve">2.2 </w:t>
      </w:r>
      <w:r w:rsidR="003C54BE" w:rsidRPr="005D3F5A">
        <w:rPr>
          <w:lang w:val="en-GB"/>
        </w:rPr>
        <w:t>Calculation</w:t>
      </w:r>
    </w:p>
    <w:p w14:paraId="72051B18" w14:textId="457C7437" w:rsidR="003B63F5" w:rsidRDefault="001B193C" w:rsidP="00255865">
      <w:pPr>
        <w:pStyle w:val="CETListbullets"/>
        <w:ind w:left="113" w:firstLine="0"/>
      </w:pPr>
      <w:r>
        <w:t>The most important process parameter</w:t>
      </w:r>
      <w:r w:rsidR="003B63F5">
        <w:t>s</w:t>
      </w:r>
      <w:r>
        <w:t xml:space="preserve"> </w:t>
      </w:r>
      <w:r w:rsidR="003B63F5">
        <w:t>were</w:t>
      </w:r>
      <w:r>
        <w:t xml:space="preserve"> calculated using the equation</w:t>
      </w:r>
      <w:r w:rsidR="00377C7A">
        <w:t>s</w:t>
      </w:r>
      <w:r>
        <w:t xml:space="preserve"> reported in table 2. The F represent the Faraday Constant (96485 C/mole</w:t>
      </w:r>
      <w:r w:rsidRPr="001B193C">
        <w:rPr>
          <w:vertAlign w:val="superscript"/>
        </w:rPr>
        <w:t>-</w:t>
      </w:r>
      <w:r>
        <w:t>) while 86400 are the seconds in one day</w:t>
      </w:r>
      <w:r w:rsidR="00D80B37">
        <w:t xml:space="preserve">, Q is the flow rate of the feeding solution in </w:t>
      </w:r>
      <w:r w:rsidR="009A0DD8">
        <w:t>litre</w:t>
      </w:r>
      <w:r w:rsidR="00D80B37">
        <w:t xml:space="preserve"> per day</w:t>
      </w:r>
      <w:r w:rsidR="00377C7A">
        <w:t>.</w:t>
      </w:r>
    </w:p>
    <w:p w14:paraId="0EE4AA86" w14:textId="6C30F0F9" w:rsidR="003B63F5" w:rsidRPr="00B57B36" w:rsidRDefault="003B63F5" w:rsidP="003B63F5">
      <w:pPr>
        <w:pStyle w:val="CETTabletitle"/>
      </w:pPr>
      <w:r w:rsidRPr="00B57B36">
        <w:t xml:space="preserve">Table </w:t>
      </w:r>
      <w:r>
        <w:t>2</w:t>
      </w:r>
      <w:r w:rsidRPr="00B57B36">
        <w:t xml:space="preserve">: </w:t>
      </w:r>
      <w:r>
        <w:t>Fundamental reactor parameter and equation for reductive reactor</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A0" w:firstRow="1" w:lastRow="0" w:firstColumn="1" w:lastColumn="0" w:noHBand="0" w:noVBand="0"/>
      </w:tblPr>
      <w:tblGrid>
        <w:gridCol w:w="3998"/>
        <w:gridCol w:w="4796"/>
      </w:tblGrid>
      <w:tr w:rsidR="00CF2715" w:rsidRPr="00B57B36" w14:paraId="37FAF3ED" w14:textId="77777777" w:rsidTr="007D4C2C">
        <w:tc>
          <w:tcPr>
            <w:tcW w:w="3998" w:type="dxa"/>
            <w:tcBorders>
              <w:top w:val="single" w:sz="12" w:space="0" w:color="00863D"/>
              <w:left w:val="single" w:sz="6" w:space="0" w:color="FFFFFF" w:themeColor="background1"/>
              <w:bottom w:val="single" w:sz="6" w:space="0" w:color="00863D"/>
              <w:right w:val="single" w:sz="6" w:space="0" w:color="FFFFFF" w:themeColor="background1"/>
            </w:tcBorders>
            <w:shd w:val="clear" w:color="auto" w:fill="FFFFFF"/>
          </w:tcPr>
          <w:p w14:paraId="756E8429" w14:textId="45C37DA3" w:rsidR="00CF2715" w:rsidRPr="00B57B36" w:rsidRDefault="00CF2715" w:rsidP="00CF2715">
            <w:pPr>
              <w:pStyle w:val="CETBodytext"/>
              <w:jc w:val="center"/>
              <w:rPr>
                <w:lang w:val="en-GB"/>
              </w:rPr>
            </w:pPr>
            <w:r>
              <w:rPr>
                <w:lang w:val="en-GB"/>
              </w:rPr>
              <w:t>Parameter</w:t>
            </w:r>
          </w:p>
        </w:tc>
        <w:tc>
          <w:tcPr>
            <w:tcW w:w="4796" w:type="dxa"/>
            <w:tcBorders>
              <w:top w:val="single" w:sz="12" w:space="0" w:color="00863D"/>
              <w:left w:val="single" w:sz="6" w:space="0" w:color="FFFFFF" w:themeColor="background1"/>
              <w:bottom w:val="single" w:sz="6" w:space="0" w:color="00863D"/>
              <w:right w:val="single" w:sz="6" w:space="0" w:color="FFFFFF" w:themeColor="background1"/>
            </w:tcBorders>
            <w:shd w:val="clear" w:color="auto" w:fill="FFFFFF"/>
          </w:tcPr>
          <w:p w14:paraId="2BD0FC8D" w14:textId="22EDC840" w:rsidR="00CF2715" w:rsidRPr="0017071A" w:rsidRDefault="00CF2715" w:rsidP="00CF2715">
            <w:pPr>
              <w:pStyle w:val="CETBodytext"/>
              <w:jc w:val="center"/>
              <w:rPr>
                <w:rFonts w:cs="Arial"/>
                <w:lang w:val="en-GB"/>
              </w:rPr>
            </w:pPr>
            <w:r w:rsidRPr="0017071A">
              <w:rPr>
                <w:rFonts w:cs="Arial"/>
                <w:lang w:val="en-GB"/>
              </w:rPr>
              <w:t>Equation</w:t>
            </w:r>
          </w:p>
        </w:tc>
      </w:tr>
      <w:tr w:rsidR="00CF2715" w:rsidRPr="00B57B36" w14:paraId="065D72C8" w14:textId="77777777" w:rsidTr="00377C7A">
        <w:trPr>
          <w:trHeight w:val="294"/>
        </w:trPr>
        <w:tc>
          <w:tcPr>
            <w:tcW w:w="3998" w:type="dxa"/>
            <w:tcBorders>
              <w:top w:val="single" w:sz="6" w:space="0" w:color="00863D"/>
              <w:left w:val="single" w:sz="6" w:space="0" w:color="FFFFFF" w:themeColor="background1"/>
              <w:bottom w:val="single" w:sz="6" w:space="0" w:color="FFFFFF" w:themeColor="background1"/>
              <w:right w:val="single" w:sz="6" w:space="0" w:color="FFFFFF" w:themeColor="background1"/>
            </w:tcBorders>
            <w:shd w:val="clear" w:color="auto" w:fill="FFFFFF"/>
          </w:tcPr>
          <w:p w14:paraId="316CA889" w14:textId="084CC3A3" w:rsidR="00CF2715" w:rsidRPr="00B57B36" w:rsidRDefault="00CF2715" w:rsidP="00CF2715">
            <w:pPr>
              <w:pStyle w:val="CETBodytext"/>
              <w:jc w:val="center"/>
              <w:rPr>
                <w:lang w:val="en-GB"/>
              </w:rPr>
            </w:pPr>
            <w:r>
              <w:rPr>
                <w:lang w:val="en-GB"/>
              </w:rPr>
              <w:t>CAHs Removal Rate (</w:t>
            </w:r>
            <w:r>
              <w:rPr>
                <w:rFonts w:cs="Arial"/>
                <w:lang w:val="en-GB"/>
              </w:rPr>
              <w:t>µ</w:t>
            </w:r>
            <w:proofErr w:type="spellStart"/>
            <w:r>
              <w:rPr>
                <w:lang w:val="en-GB"/>
              </w:rPr>
              <w:t>eq</w:t>
            </w:r>
            <w:proofErr w:type="spellEnd"/>
            <w:r>
              <w:rPr>
                <w:lang w:val="en-GB"/>
              </w:rPr>
              <w:t>/</w:t>
            </w:r>
            <w:proofErr w:type="spellStart"/>
            <w:r>
              <w:rPr>
                <w:lang w:val="en-GB"/>
              </w:rPr>
              <w:t>Ld</w:t>
            </w:r>
            <w:proofErr w:type="spellEnd"/>
            <w:r>
              <w:rPr>
                <w:lang w:val="en-GB"/>
              </w:rPr>
              <w:t>)</w:t>
            </w:r>
          </w:p>
        </w:tc>
        <w:tc>
          <w:tcPr>
            <w:tcW w:w="4796" w:type="dxa"/>
            <w:tcBorders>
              <w:top w:val="single" w:sz="6" w:space="0" w:color="00863D"/>
              <w:left w:val="single" w:sz="6" w:space="0" w:color="FFFFFF" w:themeColor="background1"/>
              <w:bottom w:val="single" w:sz="6" w:space="0" w:color="FFFFFF" w:themeColor="background1"/>
              <w:right w:val="single" w:sz="6" w:space="0" w:color="FFFFFF" w:themeColor="background1"/>
            </w:tcBorders>
            <w:shd w:val="clear" w:color="auto" w:fill="FFFFFF"/>
          </w:tcPr>
          <w:p w14:paraId="308A56A7" w14:textId="5D1672A4" w:rsidR="00CF2715" w:rsidRPr="0017071A" w:rsidRDefault="00D80B37" w:rsidP="00CF2715">
            <w:pPr>
              <w:pStyle w:val="CETBodytext"/>
              <w:jc w:val="center"/>
              <w:rPr>
                <w:rFonts w:cs="Arial"/>
                <w:lang w:val="en-GB"/>
              </w:rPr>
            </w:pPr>
            <w:r w:rsidRPr="0017071A">
              <w:rPr>
                <w:rFonts w:cs="Arial"/>
                <w:szCs w:val="14"/>
                <w:lang w:val="en-GB"/>
              </w:rPr>
              <w:t>[CAHs]in -[CAHs]out * Q/</w:t>
            </w:r>
            <w:proofErr w:type="spellStart"/>
            <w:r w:rsidRPr="0017071A">
              <w:rPr>
                <w:rFonts w:cs="Arial"/>
                <w:szCs w:val="14"/>
                <w:lang w:val="en-GB"/>
              </w:rPr>
              <w:t>V</w:t>
            </w:r>
            <w:r w:rsidRPr="0017071A">
              <w:rPr>
                <w:rFonts w:cs="Arial"/>
                <w:szCs w:val="14"/>
                <w:vertAlign w:val="subscript"/>
                <w:lang w:val="en-GB"/>
              </w:rPr>
              <w:t>reductive</w:t>
            </w:r>
            <w:proofErr w:type="spellEnd"/>
          </w:p>
        </w:tc>
      </w:tr>
      <w:tr w:rsidR="00CF2715" w:rsidRPr="000803D1" w14:paraId="1D9D796D" w14:textId="77777777" w:rsidTr="00377C7A">
        <w:trPr>
          <w:trHeight w:val="115"/>
        </w:trPr>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4A090AF8" w14:textId="1734DADF" w:rsidR="00CF2715" w:rsidRPr="00B57B36" w:rsidRDefault="00CF2715" w:rsidP="00CF2715">
            <w:pPr>
              <w:pStyle w:val="CETBodytext"/>
              <w:ind w:right="-1"/>
              <w:jc w:val="center"/>
              <w:rPr>
                <w:rFonts w:cs="Arial"/>
                <w:szCs w:val="18"/>
                <w:lang w:val="en-GB"/>
              </w:rPr>
            </w:pPr>
            <w:r>
              <w:rPr>
                <w:rFonts w:cs="Arial"/>
                <w:szCs w:val="18"/>
                <w:lang w:val="en-GB"/>
              </w:rPr>
              <w:t xml:space="preserve">RD rate </w:t>
            </w:r>
            <w:r>
              <w:rPr>
                <w:lang w:val="en-GB"/>
              </w:rPr>
              <w:t>(</w:t>
            </w:r>
            <w:r>
              <w:rPr>
                <w:rFonts w:cs="Arial"/>
                <w:lang w:val="en-GB"/>
              </w:rPr>
              <w:t>µ</w:t>
            </w:r>
            <w:proofErr w:type="spellStart"/>
            <w:r>
              <w:rPr>
                <w:lang w:val="en-GB"/>
              </w:rPr>
              <w:t>eq</w:t>
            </w:r>
            <w:proofErr w:type="spellEnd"/>
            <w:r>
              <w:rPr>
                <w:lang w:val="en-GB"/>
              </w:rPr>
              <w:t>/</w:t>
            </w:r>
            <w:proofErr w:type="spellStart"/>
            <w:r>
              <w:rPr>
                <w:lang w:val="en-GB"/>
              </w:rPr>
              <w:t>Ld</w:t>
            </w:r>
            <w:proofErr w:type="spellEnd"/>
            <w:r>
              <w:rPr>
                <w:lang w:val="en-GB"/>
              </w:rPr>
              <w:t>)</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57F69B4B" w14:textId="231027AA" w:rsidR="00CF2715" w:rsidRPr="0017071A" w:rsidRDefault="00D7219E" w:rsidP="00377C7A">
            <w:pPr>
              <w:spacing w:line="360" w:lineRule="auto"/>
              <w:jc w:val="center"/>
              <w:rPr>
                <w:rFonts w:cs="Arial"/>
                <w:szCs w:val="14"/>
              </w:rPr>
            </w:pPr>
            <w:r w:rsidRPr="0017071A">
              <w:rPr>
                <w:rFonts w:cs="Arial"/>
                <w:szCs w:val="14"/>
              </w:rPr>
              <w:t>Q/</w:t>
            </w:r>
            <w:proofErr w:type="spellStart"/>
            <w:r w:rsidRPr="0017071A">
              <w:rPr>
                <w:rFonts w:cs="Arial"/>
                <w:szCs w:val="14"/>
              </w:rPr>
              <w:t>V</w:t>
            </w:r>
            <w:r w:rsidRPr="0017071A">
              <w:rPr>
                <w:rFonts w:cs="Arial"/>
                <w:szCs w:val="14"/>
                <w:vertAlign w:val="subscript"/>
              </w:rPr>
              <w:t>re</w:t>
            </w:r>
            <w:r w:rsidR="000803D1" w:rsidRPr="0017071A">
              <w:rPr>
                <w:rFonts w:cs="Arial"/>
                <w:szCs w:val="14"/>
                <w:vertAlign w:val="subscript"/>
              </w:rPr>
              <w:t>ductive</w:t>
            </w:r>
            <w:proofErr w:type="spellEnd"/>
            <w:r w:rsidRPr="0017071A">
              <w:rPr>
                <w:rFonts w:cs="Arial"/>
                <w:szCs w:val="14"/>
              </w:rPr>
              <w:t>*[TCE]*2+[</w:t>
            </w:r>
            <w:proofErr w:type="spellStart"/>
            <w:r w:rsidRPr="0017071A">
              <w:rPr>
                <w:rFonts w:cs="Arial"/>
                <w:szCs w:val="14"/>
              </w:rPr>
              <w:t>cisDCE</w:t>
            </w:r>
            <w:proofErr w:type="spellEnd"/>
            <w:r w:rsidRPr="0017071A">
              <w:rPr>
                <w:rFonts w:cs="Arial"/>
                <w:szCs w:val="14"/>
              </w:rPr>
              <w:t>]*4+[VC]*6+[Eth]*8+[Eta]*10</w:t>
            </w:r>
          </w:p>
        </w:tc>
      </w:tr>
      <w:tr w:rsidR="00CF2715" w:rsidRPr="00B57B36" w14:paraId="1816DA96"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5BBD971A" w14:textId="26157EF3" w:rsidR="00CF2715" w:rsidRDefault="00CF2715" w:rsidP="00CF2715">
            <w:pPr>
              <w:pStyle w:val="CETBodytext"/>
              <w:ind w:right="-1"/>
              <w:jc w:val="center"/>
              <w:rPr>
                <w:rFonts w:cs="Arial"/>
                <w:szCs w:val="18"/>
                <w:lang w:val="en-GB"/>
              </w:rPr>
            </w:pPr>
            <w:r>
              <w:rPr>
                <w:rFonts w:cs="Arial"/>
                <w:szCs w:val="18"/>
                <w:lang w:val="en-GB"/>
              </w:rPr>
              <w:t>RD rate (mA)</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135AA920" w14:textId="12C17B80" w:rsidR="00CF2715" w:rsidRPr="0017071A" w:rsidRDefault="00D7219E" w:rsidP="00CF2715">
            <w:pPr>
              <w:pStyle w:val="CETBodytext"/>
              <w:ind w:right="-1"/>
              <w:jc w:val="center"/>
              <w:rPr>
                <w:rFonts w:cs="Arial"/>
                <w:szCs w:val="18"/>
                <w:lang w:val="en-GB"/>
              </w:rPr>
            </w:pPr>
            <w:r w:rsidRPr="0017071A">
              <w:rPr>
                <w:rFonts w:cs="Arial"/>
                <w:szCs w:val="14"/>
                <w:lang w:val="en-GB"/>
              </w:rPr>
              <w:t>RD (µ</w:t>
            </w:r>
            <w:proofErr w:type="spellStart"/>
            <w:r w:rsidRPr="0017071A">
              <w:rPr>
                <w:rFonts w:cs="Arial"/>
                <w:szCs w:val="14"/>
                <w:lang w:val="en-GB"/>
              </w:rPr>
              <w:t>eq</w:t>
            </w:r>
            <w:proofErr w:type="spellEnd"/>
            <w:r w:rsidRPr="0017071A">
              <w:rPr>
                <w:rFonts w:cs="Arial"/>
                <w:szCs w:val="14"/>
                <w:lang w:val="en-GB"/>
              </w:rPr>
              <w:t>/</w:t>
            </w:r>
            <w:proofErr w:type="spellStart"/>
            <w:r w:rsidRPr="0017071A">
              <w:rPr>
                <w:rFonts w:cs="Arial"/>
                <w:szCs w:val="14"/>
                <w:lang w:val="en-GB"/>
              </w:rPr>
              <w:t>Ld</w:t>
            </w:r>
            <w:proofErr w:type="spellEnd"/>
            <w:r w:rsidRPr="0017071A">
              <w:rPr>
                <w:rFonts w:cs="Arial"/>
                <w:szCs w:val="14"/>
                <w:lang w:val="en-GB"/>
              </w:rPr>
              <w:t>) *</w:t>
            </w:r>
            <w:proofErr w:type="spellStart"/>
            <w:r w:rsidRPr="0017071A">
              <w:rPr>
                <w:rFonts w:cs="Arial"/>
                <w:szCs w:val="14"/>
                <w:lang w:val="en-GB"/>
              </w:rPr>
              <w:t>V</w:t>
            </w:r>
            <w:r w:rsidRPr="0017071A">
              <w:rPr>
                <w:rFonts w:cs="Arial"/>
                <w:szCs w:val="14"/>
                <w:vertAlign w:val="subscript"/>
                <w:lang w:val="en-GB"/>
              </w:rPr>
              <w:t>reductive</w:t>
            </w:r>
            <w:proofErr w:type="spellEnd"/>
            <w:r w:rsidRPr="0017071A">
              <w:rPr>
                <w:rFonts w:cs="Arial"/>
                <w:szCs w:val="14"/>
                <w:lang w:val="en-GB"/>
              </w:rPr>
              <w:t>*F/86400/1000</w:t>
            </w:r>
          </w:p>
        </w:tc>
      </w:tr>
      <w:tr w:rsidR="00CF2715" w:rsidRPr="00B57B36" w14:paraId="1C9F45B7"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0F0FCDE" w14:textId="69E55DD8" w:rsidR="00CF2715" w:rsidRDefault="00CF2715" w:rsidP="00CF2715">
            <w:pPr>
              <w:pStyle w:val="CETBodytext"/>
              <w:ind w:right="-1"/>
              <w:jc w:val="center"/>
              <w:rPr>
                <w:rFonts w:cs="Arial"/>
                <w:szCs w:val="18"/>
                <w:lang w:val="en-GB"/>
              </w:rPr>
            </w:pPr>
            <w:r>
              <w:rPr>
                <w:rFonts w:cs="Arial"/>
                <w:szCs w:val="18"/>
                <w:lang w:val="en-GB"/>
              </w:rPr>
              <w:t>CH</w:t>
            </w:r>
            <w:r w:rsidRPr="00CF2715">
              <w:rPr>
                <w:rFonts w:cs="Arial"/>
                <w:szCs w:val="18"/>
                <w:vertAlign w:val="subscript"/>
                <w:lang w:val="en-GB"/>
              </w:rPr>
              <w:t>4</w:t>
            </w:r>
            <w:r>
              <w:rPr>
                <w:rFonts w:cs="Arial"/>
                <w:szCs w:val="18"/>
                <w:lang w:val="en-GB"/>
              </w:rPr>
              <w:t xml:space="preserve"> production rate (</w:t>
            </w:r>
            <w:r>
              <w:rPr>
                <w:rFonts w:cs="Arial"/>
                <w:lang w:val="en-GB"/>
              </w:rPr>
              <w:t>µ</w:t>
            </w:r>
            <w:proofErr w:type="spellStart"/>
            <w:r>
              <w:rPr>
                <w:rFonts w:cs="Arial"/>
                <w:szCs w:val="18"/>
                <w:lang w:val="en-GB"/>
              </w:rPr>
              <w:t>eq</w:t>
            </w:r>
            <w:proofErr w:type="spellEnd"/>
            <w:r>
              <w:rPr>
                <w:rFonts w:cs="Arial"/>
                <w:szCs w:val="18"/>
                <w:lang w:val="en-GB"/>
              </w:rPr>
              <w:t>/</w:t>
            </w:r>
            <w:proofErr w:type="spellStart"/>
            <w:r>
              <w:rPr>
                <w:rFonts w:cs="Arial"/>
                <w:szCs w:val="18"/>
                <w:lang w:val="en-GB"/>
              </w:rPr>
              <w:t>Ld</w:t>
            </w:r>
            <w:proofErr w:type="spellEnd"/>
            <w:r>
              <w:rPr>
                <w:rFonts w:cs="Arial"/>
                <w:szCs w:val="18"/>
                <w:lang w:val="en-GB"/>
              </w:rPr>
              <w:t>)</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58219D60" w14:textId="3BD56379" w:rsidR="00CF2715" w:rsidRPr="0017071A" w:rsidRDefault="00D7219E" w:rsidP="00D7219E">
            <w:pPr>
              <w:spacing w:line="360" w:lineRule="auto"/>
              <w:jc w:val="center"/>
              <w:rPr>
                <w:rFonts w:cs="Arial"/>
                <w:szCs w:val="14"/>
              </w:rPr>
            </w:pPr>
            <w:r w:rsidRPr="0017071A">
              <w:rPr>
                <w:rFonts w:cs="Arial"/>
                <w:szCs w:val="14"/>
              </w:rPr>
              <w:t>RCH</w:t>
            </w:r>
            <w:r w:rsidRPr="0017071A">
              <w:rPr>
                <w:rFonts w:cs="Arial"/>
                <w:szCs w:val="14"/>
                <w:vertAlign w:val="subscript"/>
              </w:rPr>
              <w:t>4</w:t>
            </w:r>
            <w:r w:rsidRPr="0017071A">
              <w:rPr>
                <w:rFonts w:cs="Arial"/>
                <w:szCs w:val="14"/>
              </w:rPr>
              <w:t xml:space="preserve"> (µ</w:t>
            </w:r>
            <w:proofErr w:type="spellStart"/>
            <w:r w:rsidRPr="0017071A">
              <w:rPr>
                <w:rFonts w:cs="Arial"/>
                <w:szCs w:val="14"/>
              </w:rPr>
              <w:t>eq</w:t>
            </w:r>
            <w:proofErr w:type="spellEnd"/>
            <w:r w:rsidRPr="0017071A">
              <w:rPr>
                <w:rFonts w:cs="Arial"/>
                <w:szCs w:val="14"/>
              </w:rPr>
              <w:t>/</w:t>
            </w:r>
            <w:proofErr w:type="spellStart"/>
            <w:r w:rsidRPr="0017071A">
              <w:rPr>
                <w:rFonts w:cs="Arial"/>
                <w:szCs w:val="14"/>
              </w:rPr>
              <w:t>Ld</w:t>
            </w:r>
            <w:proofErr w:type="spellEnd"/>
            <w:r w:rsidRPr="0017071A">
              <w:rPr>
                <w:rFonts w:cs="Arial"/>
                <w:szCs w:val="14"/>
              </w:rPr>
              <w:t>) = Q/</w:t>
            </w:r>
            <w:proofErr w:type="spellStart"/>
            <w:r w:rsidRPr="0017071A">
              <w:rPr>
                <w:rFonts w:cs="Arial"/>
                <w:szCs w:val="14"/>
              </w:rPr>
              <w:t>V</w:t>
            </w:r>
            <w:r w:rsidRPr="0017071A">
              <w:rPr>
                <w:rFonts w:cs="Arial"/>
                <w:szCs w:val="14"/>
                <w:vertAlign w:val="subscript"/>
              </w:rPr>
              <w:t>r</w:t>
            </w:r>
            <w:proofErr w:type="spellEnd"/>
            <w:r w:rsidRPr="0017071A">
              <w:rPr>
                <w:rFonts w:cs="Arial"/>
                <w:szCs w:val="14"/>
              </w:rPr>
              <w:t>*[CH</w:t>
            </w:r>
            <w:proofErr w:type="gramStart"/>
            <w:r w:rsidRPr="0017071A">
              <w:rPr>
                <w:rFonts w:cs="Arial"/>
                <w:szCs w:val="14"/>
                <w:vertAlign w:val="subscript"/>
              </w:rPr>
              <w:t>4</w:t>
            </w:r>
            <w:r w:rsidRPr="0017071A">
              <w:rPr>
                <w:rFonts w:cs="Arial"/>
                <w:szCs w:val="14"/>
              </w:rPr>
              <w:t>]*</w:t>
            </w:r>
            <w:proofErr w:type="gramEnd"/>
            <w:r w:rsidRPr="0017071A">
              <w:rPr>
                <w:rFonts w:cs="Arial"/>
                <w:szCs w:val="14"/>
              </w:rPr>
              <w:t>8</w:t>
            </w:r>
          </w:p>
        </w:tc>
      </w:tr>
      <w:tr w:rsidR="00CF2715" w:rsidRPr="00B57B36" w14:paraId="12DBD3A1"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3AB76FDA" w14:textId="08E7B6FC" w:rsidR="00CF2715" w:rsidRDefault="00CF2715" w:rsidP="00CF2715">
            <w:pPr>
              <w:pStyle w:val="CETBodytext"/>
              <w:ind w:right="-1"/>
              <w:jc w:val="center"/>
              <w:rPr>
                <w:rFonts w:cs="Arial"/>
                <w:szCs w:val="18"/>
                <w:lang w:val="en-GB"/>
              </w:rPr>
            </w:pPr>
            <w:r>
              <w:rPr>
                <w:rFonts w:cs="Arial"/>
                <w:szCs w:val="18"/>
                <w:lang w:val="en-GB"/>
              </w:rPr>
              <w:t>CH</w:t>
            </w:r>
            <w:r w:rsidRPr="00CF2715">
              <w:rPr>
                <w:rFonts w:cs="Arial"/>
                <w:szCs w:val="18"/>
                <w:vertAlign w:val="subscript"/>
                <w:lang w:val="en-GB"/>
              </w:rPr>
              <w:t>4</w:t>
            </w:r>
            <w:r>
              <w:rPr>
                <w:rFonts w:cs="Arial"/>
                <w:szCs w:val="18"/>
                <w:lang w:val="en-GB"/>
              </w:rPr>
              <w:t xml:space="preserve"> production rate (</w:t>
            </w:r>
            <w:r>
              <w:rPr>
                <w:rFonts w:cs="Arial"/>
                <w:lang w:val="en-GB"/>
              </w:rPr>
              <w:t>mA</w:t>
            </w:r>
            <w:r>
              <w:rPr>
                <w:rFonts w:cs="Arial"/>
                <w:szCs w:val="18"/>
                <w:lang w:val="en-GB"/>
              </w:rPr>
              <w:t>)</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A4ACE5F" w14:textId="60ACD0FA" w:rsidR="00CF2715" w:rsidRPr="0017071A" w:rsidRDefault="00D7219E" w:rsidP="00CF2715">
            <w:pPr>
              <w:pStyle w:val="CETBodytext"/>
              <w:ind w:right="-1"/>
              <w:jc w:val="center"/>
              <w:rPr>
                <w:rFonts w:cs="Arial"/>
                <w:szCs w:val="18"/>
                <w:lang w:val="en-GB"/>
              </w:rPr>
            </w:pPr>
            <w:r w:rsidRPr="0017071A">
              <w:rPr>
                <w:rFonts w:cs="Arial"/>
                <w:szCs w:val="14"/>
                <w:lang w:val="en-GB"/>
              </w:rPr>
              <w:t>RCH</w:t>
            </w:r>
            <w:r w:rsidRPr="0017071A">
              <w:rPr>
                <w:rFonts w:cs="Arial"/>
                <w:szCs w:val="14"/>
                <w:vertAlign w:val="subscript"/>
                <w:lang w:val="en-GB"/>
              </w:rPr>
              <w:t>4</w:t>
            </w:r>
            <w:r w:rsidRPr="0017071A">
              <w:rPr>
                <w:rFonts w:cs="Arial"/>
                <w:szCs w:val="14"/>
                <w:lang w:val="en-GB"/>
              </w:rPr>
              <w:t xml:space="preserve"> (µ</w:t>
            </w:r>
            <w:proofErr w:type="spellStart"/>
            <w:r w:rsidRPr="0017071A">
              <w:rPr>
                <w:rFonts w:cs="Arial"/>
                <w:szCs w:val="14"/>
                <w:lang w:val="en-GB"/>
              </w:rPr>
              <w:t>eq</w:t>
            </w:r>
            <w:proofErr w:type="spellEnd"/>
            <w:r w:rsidRPr="0017071A">
              <w:rPr>
                <w:rFonts w:cs="Arial"/>
                <w:szCs w:val="14"/>
                <w:lang w:val="en-GB"/>
              </w:rPr>
              <w:t>/</w:t>
            </w:r>
            <w:proofErr w:type="spellStart"/>
            <w:r w:rsidRPr="0017071A">
              <w:rPr>
                <w:rFonts w:cs="Arial"/>
                <w:szCs w:val="14"/>
                <w:lang w:val="en-GB"/>
              </w:rPr>
              <w:t>Ld</w:t>
            </w:r>
            <w:proofErr w:type="spellEnd"/>
            <w:r w:rsidRPr="0017071A">
              <w:rPr>
                <w:rFonts w:cs="Arial"/>
                <w:szCs w:val="14"/>
                <w:lang w:val="en-GB"/>
              </w:rPr>
              <w:t>) *</w:t>
            </w:r>
            <w:proofErr w:type="spellStart"/>
            <w:r w:rsidRPr="0017071A">
              <w:rPr>
                <w:rFonts w:cs="Arial"/>
                <w:szCs w:val="14"/>
                <w:lang w:val="en-GB"/>
              </w:rPr>
              <w:t>V</w:t>
            </w:r>
            <w:r w:rsidRPr="0017071A">
              <w:rPr>
                <w:rFonts w:cs="Arial"/>
                <w:szCs w:val="14"/>
                <w:vertAlign w:val="subscript"/>
                <w:lang w:val="en-GB"/>
              </w:rPr>
              <w:t>r</w:t>
            </w:r>
            <w:proofErr w:type="spellEnd"/>
            <w:r w:rsidRPr="0017071A">
              <w:rPr>
                <w:rFonts w:cs="Arial"/>
                <w:szCs w:val="14"/>
                <w:lang w:val="en-GB"/>
              </w:rPr>
              <w:t>*F/86400/1000</w:t>
            </w:r>
          </w:p>
        </w:tc>
      </w:tr>
      <w:tr w:rsidR="00CF2715" w:rsidRPr="00B57B36" w14:paraId="2D54C3F7"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790FB91C" w14:textId="61C945ED" w:rsidR="00CF2715" w:rsidRDefault="00CF2715" w:rsidP="00CF2715">
            <w:pPr>
              <w:pStyle w:val="CETBodytext"/>
              <w:ind w:right="-1"/>
              <w:jc w:val="center"/>
              <w:rPr>
                <w:rFonts w:cs="Arial"/>
                <w:szCs w:val="18"/>
                <w:lang w:val="en-GB"/>
              </w:rPr>
            </w:pPr>
            <w:r>
              <w:rPr>
                <w:rFonts w:cs="Arial"/>
                <w:szCs w:val="18"/>
                <w:lang w:val="en-GB"/>
              </w:rPr>
              <w:t>Sulphate Reduction rate (</w:t>
            </w:r>
            <w:proofErr w:type="spellStart"/>
            <w:r>
              <w:rPr>
                <w:rFonts w:cs="Arial"/>
                <w:szCs w:val="18"/>
                <w:lang w:val="en-GB"/>
              </w:rPr>
              <w:t>meq</w:t>
            </w:r>
            <w:proofErr w:type="spellEnd"/>
            <w:r>
              <w:rPr>
                <w:rFonts w:cs="Arial"/>
                <w:szCs w:val="18"/>
                <w:lang w:val="en-GB"/>
              </w:rPr>
              <w:t>/</w:t>
            </w:r>
            <w:proofErr w:type="spellStart"/>
            <w:r>
              <w:rPr>
                <w:rFonts w:cs="Arial"/>
                <w:szCs w:val="18"/>
                <w:lang w:val="en-GB"/>
              </w:rPr>
              <w:t>Ld</w:t>
            </w:r>
            <w:proofErr w:type="spellEnd"/>
            <w:r>
              <w:rPr>
                <w:rFonts w:cs="Arial"/>
                <w:szCs w:val="18"/>
                <w:lang w:val="en-GB"/>
              </w:rPr>
              <w:t>)</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6B3D64E6" w14:textId="15CC4B69" w:rsidR="00CF2715" w:rsidRPr="0017071A" w:rsidRDefault="00D7219E" w:rsidP="00CF2715">
            <w:pPr>
              <w:pStyle w:val="CETBodytext"/>
              <w:ind w:right="-1"/>
              <w:jc w:val="center"/>
              <w:rPr>
                <w:rFonts w:cs="Arial"/>
                <w:szCs w:val="18"/>
                <w:lang w:val="en-GB"/>
              </w:rPr>
            </w:pPr>
            <w:r w:rsidRPr="0017071A">
              <w:rPr>
                <w:rFonts w:cs="Arial"/>
                <w:szCs w:val="14"/>
                <w:lang w:val="it-IT"/>
              </w:rPr>
              <w:t>Q/</w:t>
            </w:r>
            <w:proofErr w:type="spellStart"/>
            <w:r w:rsidRPr="0017071A">
              <w:rPr>
                <w:rFonts w:cs="Arial"/>
                <w:szCs w:val="14"/>
                <w:lang w:val="it-IT"/>
              </w:rPr>
              <w:t>V</w:t>
            </w:r>
            <w:r w:rsidRPr="0017071A">
              <w:rPr>
                <w:rFonts w:cs="Arial"/>
                <w:szCs w:val="14"/>
                <w:vertAlign w:val="subscript"/>
                <w:lang w:val="it-IT"/>
              </w:rPr>
              <w:t>r</w:t>
            </w:r>
            <w:proofErr w:type="spellEnd"/>
            <w:r w:rsidRPr="0017071A">
              <w:rPr>
                <w:rFonts w:cs="Arial"/>
                <w:szCs w:val="14"/>
                <w:lang w:val="it-IT"/>
              </w:rPr>
              <w:t>*[SO</w:t>
            </w:r>
            <w:r w:rsidRPr="0017071A">
              <w:rPr>
                <w:rFonts w:cs="Arial"/>
                <w:szCs w:val="14"/>
                <w:vertAlign w:val="subscript"/>
                <w:lang w:val="it-IT"/>
              </w:rPr>
              <w:t>4</w:t>
            </w:r>
            <w:r w:rsidR="00014A10" w:rsidRPr="0017071A">
              <w:rPr>
                <w:rFonts w:cs="Arial"/>
                <w:szCs w:val="14"/>
                <w:vertAlign w:val="superscript"/>
                <w:lang w:val="it-IT"/>
              </w:rPr>
              <w:t>2</w:t>
            </w:r>
            <w:proofErr w:type="gramStart"/>
            <w:r w:rsidR="00014A10" w:rsidRPr="0017071A">
              <w:rPr>
                <w:rFonts w:cs="Arial"/>
                <w:szCs w:val="14"/>
                <w:vertAlign w:val="superscript"/>
                <w:lang w:val="it-IT"/>
              </w:rPr>
              <w:t>-</w:t>
            </w:r>
            <w:r w:rsidRPr="0017071A">
              <w:rPr>
                <w:rFonts w:cs="Arial"/>
                <w:szCs w:val="14"/>
                <w:lang w:val="it-IT"/>
              </w:rPr>
              <w:t>]</w:t>
            </w:r>
            <w:proofErr w:type="spellStart"/>
            <w:r w:rsidRPr="0017071A">
              <w:rPr>
                <w:rFonts w:cs="Arial"/>
                <w:szCs w:val="14"/>
                <w:vertAlign w:val="subscript"/>
                <w:lang w:val="it-IT"/>
              </w:rPr>
              <w:t>removed</w:t>
            </w:r>
            <w:proofErr w:type="spellEnd"/>
            <w:proofErr w:type="gramEnd"/>
            <w:r w:rsidRPr="0017071A">
              <w:rPr>
                <w:rFonts w:cs="Arial"/>
                <w:szCs w:val="14"/>
                <w:lang w:val="it-IT"/>
              </w:rPr>
              <w:t>*8</w:t>
            </w:r>
          </w:p>
        </w:tc>
      </w:tr>
      <w:tr w:rsidR="00CF2715" w:rsidRPr="00B57B36" w14:paraId="34166EDC"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6CF64700" w14:textId="5A10A2F4" w:rsidR="00CF2715" w:rsidRDefault="00CF2715" w:rsidP="00CF2715">
            <w:pPr>
              <w:pStyle w:val="CETBodytext"/>
              <w:ind w:right="-1"/>
              <w:jc w:val="center"/>
              <w:rPr>
                <w:rFonts w:cs="Arial"/>
                <w:szCs w:val="18"/>
                <w:lang w:val="en-GB"/>
              </w:rPr>
            </w:pPr>
            <w:r>
              <w:rPr>
                <w:rFonts w:cs="Arial"/>
                <w:szCs w:val="18"/>
                <w:lang w:val="en-GB"/>
              </w:rPr>
              <w:t>SR rate (mA)</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3F0EC132" w14:textId="148E36AD" w:rsidR="00CF2715" w:rsidRPr="0017071A" w:rsidRDefault="00D7219E" w:rsidP="00CF2715">
            <w:pPr>
              <w:pStyle w:val="CETBodytext"/>
              <w:ind w:right="-1"/>
              <w:jc w:val="center"/>
              <w:rPr>
                <w:rFonts w:cs="Arial"/>
                <w:szCs w:val="18"/>
                <w:lang w:val="en-GB"/>
              </w:rPr>
            </w:pPr>
            <w:r w:rsidRPr="0017071A">
              <w:rPr>
                <w:rFonts w:cs="Arial"/>
                <w:szCs w:val="14"/>
                <w:lang w:val="en-GB"/>
              </w:rPr>
              <w:t>RS (µ</w:t>
            </w:r>
            <w:proofErr w:type="spellStart"/>
            <w:r w:rsidRPr="0017071A">
              <w:rPr>
                <w:rFonts w:cs="Arial"/>
                <w:szCs w:val="14"/>
                <w:lang w:val="en-GB"/>
              </w:rPr>
              <w:t>eq</w:t>
            </w:r>
            <w:proofErr w:type="spellEnd"/>
            <w:r w:rsidRPr="0017071A">
              <w:rPr>
                <w:rFonts w:cs="Arial"/>
                <w:szCs w:val="14"/>
                <w:lang w:val="en-GB"/>
              </w:rPr>
              <w:t>/</w:t>
            </w:r>
            <w:proofErr w:type="spellStart"/>
            <w:r w:rsidRPr="0017071A">
              <w:rPr>
                <w:rFonts w:cs="Arial"/>
                <w:szCs w:val="14"/>
                <w:lang w:val="en-GB"/>
              </w:rPr>
              <w:t>Ld</w:t>
            </w:r>
            <w:proofErr w:type="spellEnd"/>
            <w:r w:rsidRPr="0017071A">
              <w:rPr>
                <w:rFonts w:cs="Arial"/>
                <w:szCs w:val="14"/>
                <w:lang w:val="en-GB"/>
              </w:rPr>
              <w:t>) *</w:t>
            </w:r>
            <w:proofErr w:type="spellStart"/>
            <w:r w:rsidRPr="0017071A">
              <w:rPr>
                <w:rFonts w:cs="Arial"/>
                <w:szCs w:val="14"/>
                <w:lang w:val="en-GB"/>
              </w:rPr>
              <w:t>V</w:t>
            </w:r>
            <w:r w:rsidRPr="0017071A">
              <w:rPr>
                <w:rFonts w:cs="Arial"/>
                <w:szCs w:val="14"/>
                <w:vertAlign w:val="subscript"/>
                <w:lang w:val="en-GB"/>
              </w:rPr>
              <w:t>r</w:t>
            </w:r>
            <w:proofErr w:type="spellEnd"/>
            <w:r w:rsidRPr="0017071A">
              <w:rPr>
                <w:rFonts w:cs="Arial"/>
                <w:szCs w:val="14"/>
                <w:lang w:val="en-GB"/>
              </w:rPr>
              <w:t>*F/86400</w:t>
            </w:r>
          </w:p>
        </w:tc>
      </w:tr>
      <w:tr w:rsidR="00CF2715" w:rsidRPr="00B57B36" w14:paraId="7C64D9BE"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1929CEEE" w14:textId="267C5A44" w:rsidR="00CF2715" w:rsidRDefault="00CF2715" w:rsidP="00CF2715">
            <w:pPr>
              <w:pStyle w:val="CETBodytext"/>
              <w:ind w:right="-1"/>
              <w:jc w:val="center"/>
              <w:rPr>
                <w:rFonts w:cs="Arial"/>
                <w:szCs w:val="18"/>
                <w:lang w:val="en-GB"/>
              </w:rPr>
            </w:pPr>
            <w:r>
              <w:rPr>
                <w:rFonts w:cs="Arial"/>
                <w:szCs w:val="18"/>
                <w:lang w:val="en-GB"/>
              </w:rPr>
              <w:t>Nitrate Reduction rate (</w:t>
            </w:r>
            <w:proofErr w:type="spellStart"/>
            <w:r>
              <w:rPr>
                <w:rFonts w:cs="Arial"/>
                <w:szCs w:val="18"/>
                <w:lang w:val="en-GB"/>
              </w:rPr>
              <w:t>meq</w:t>
            </w:r>
            <w:proofErr w:type="spellEnd"/>
            <w:r>
              <w:rPr>
                <w:rFonts w:cs="Arial"/>
                <w:szCs w:val="18"/>
                <w:lang w:val="en-GB"/>
              </w:rPr>
              <w:t>/</w:t>
            </w:r>
            <w:proofErr w:type="spellStart"/>
            <w:r>
              <w:rPr>
                <w:rFonts w:cs="Arial"/>
                <w:szCs w:val="18"/>
                <w:lang w:val="en-GB"/>
              </w:rPr>
              <w:t>Ld</w:t>
            </w:r>
            <w:proofErr w:type="spellEnd"/>
            <w:r>
              <w:rPr>
                <w:rFonts w:cs="Arial"/>
                <w:szCs w:val="18"/>
                <w:lang w:val="en-GB"/>
              </w:rPr>
              <w:t>)</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73F440BF" w14:textId="619AAC1D" w:rsidR="00CF2715" w:rsidRPr="0017071A" w:rsidRDefault="00D7219E" w:rsidP="00CF2715">
            <w:pPr>
              <w:pStyle w:val="CETBodytext"/>
              <w:ind w:right="-1"/>
              <w:jc w:val="center"/>
              <w:rPr>
                <w:rFonts w:cs="Arial"/>
                <w:szCs w:val="18"/>
                <w:lang w:val="en-GB"/>
              </w:rPr>
            </w:pPr>
            <w:r w:rsidRPr="0017071A">
              <w:rPr>
                <w:rFonts w:cs="Arial"/>
                <w:szCs w:val="14"/>
                <w:lang w:val="it-IT"/>
              </w:rPr>
              <w:t>Q/</w:t>
            </w:r>
            <w:proofErr w:type="spellStart"/>
            <w:r w:rsidRPr="0017071A">
              <w:rPr>
                <w:rFonts w:cs="Arial"/>
                <w:szCs w:val="14"/>
                <w:lang w:val="it-IT"/>
              </w:rPr>
              <w:t>V</w:t>
            </w:r>
            <w:r w:rsidRPr="0017071A">
              <w:rPr>
                <w:rFonts w:cs="Arial"/>
                <w:szCs w:val="14"/>
                <w:vertAlign w:val="subscript"/>
                <w:lang w:val="it-IT"/>
              </w:rPr>
              <w:t>r</w:t>
            </w:r>
            <w:proofErr w:type="spellEnd"/>
            <w:r w:rsidRPr="0017071A">
              <w:rPr>
                <w:rFonts w:cs="Arial"/>
                <w:szCs w:val="14"/>
                <w:lang w:val="it-IT"/>
              </w:rPr>
              <w:t>*[NO</w:t>
            </w:r>
            <w:r w:rsidR="00014A10" w:rsidRPr="0017071A">
              <w:rPr>
                <w:rFonts w:cs="Arial"/>
                <w:szCs w:val="14"/>
                <w:vertAlign w:val="subscript"/>
                <w:lang w:val="it-IT"/>
              </w:rPr>
              <w:t>3</w:t>
            </w:r>
            <w:proofErr w:type="gramStart"/>
            <w:r w:rsidR="00014A10" w:rsidRPr="0017071A">
              <w:rPr>
                <w:rFonts w:cs="Arial"/>
                <w:szCs w:val="14"/>
                <w:vertAlign w:val="superscript"/>
                <w:lang w:val="it-IT"/>
              </w:rPr>
              <w:t>-</w:t>
            </w:r>
            <w:r w:rsidRPr="0017071A">
              <w:rPr>
                <w:rFonts w:cs="Arial"/>
                <w:szCs w:val="14"/>
                <w:lang w:val="it-IT"/>
              </w:rPr>
              <w:t>]</w:t>
            </w:r>
            <w:proofErr w:type="spellStart"/>
            <w:r w:rsidRPr="0017071A">
              <w:rPr>
                <w:rFonts w:cs="Arial"/>
                <w:szCs w:val="14"/>
                <w:vertAlign w:val="subscript"/>
                <w:lang w:val="it-IT"/>
              </w:rPr>
              <w:t>removed</w:t>
            </w:r>
            <w:proofErr w:type="spellEnd"/>
            <w:proofErr w:type="gramEnd"/>
            <w:r w:rsidRPr="0017071A">
              <w:rPr>
                <w:rFonts w:cs="Arial"/>
                <w:szCs w:val="14"/>
                <w:lang w:val="it-IT"/>
              </w:rPr>
              <w:t>*5</w:t>
            </w:r>
          </w:p>
        </w:tc>
      </w:tr>
      <w:tr w:rsidR="00CF2715" w:rsidRPr="00B57B36" w14:paraId="7D6D91E1"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08971B79" w14:textId="2C8F61E6" w:rsidR="00CF2715" w:rsidRDefault="00CF2715" w:rsidP="00CF2715">
            <w:pPr>
              <w:pStyle w:val="CETBodytext"/>
              <w:ind w:right="-1"/>
              <w:jc w:val="center"/>
              <w:rPr>
                <w:rFonts w:cs="Arial"/>
                <w:szCs w:val="18"/>
                <w:lang w:val="en-GB"/>
              </w:rPr>
            </w:pPr>
            <w:r>
              <w:rPr>
                <w:rFonts w:cs="Arial"/>
                <w:szCs w:val="18"/>
                <w:lang w:val="en-GB"/>
              </w:rPr>
              <w:t>NR rate (mA)</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805B13F" w14:textId="5102269D" w:rsidR="00CF2715" w:rsidRPr="0017071A" w:rsidRDefault="00D7219E" w:rsidP="00CF2715">
            <w:pPr>
              <w:pStyle w:val="CETBodytext"/>
              <w:ind w:right="-1"/>
              <w:jc w:val="center"/>
              <w:rPr>
                <w:rFonts w:cs="Arial"/>
                <w:szCs w:val="18"/>
                <w:lang w:val="en-GB"/>
              </w:rPr>
            </w:pPr>
            <w:r w:rsidRPr="0017071A">
              <w:rPr>
                <w:rFonts w:cs="Arial"/>
                <w:szCs w:val="14"/>
                <w:lang w:val="en-GB"/>
              </w:rPr>
              <w:t>RN (µ</w:t>
            </w:r>
            <w:proofErr w:type="spellStart"/>
            <w:r w:rsidRPr="0017071A">
              <w:rPr>
                <w:rFonts w:cs="Arial"/>
                <w:szCs w:val="14"/>
                <w:lang w:val="en-GB"/>
              </w:rPr>
              <w:t>eq</w:t>
            </w:r>
            <w:proofErr w:type="spellEnd"/>
            <w:r w:rsidRPr="0017071A">
              <w:rPr>
                <w:rFonts w:cs="Arial"/>
                <w:szCs w:val="14"/>
                <w:lang w:val="en-GB"/>
              </w:rPr>
              <w:t>/</w:t>
            </w:r>
            <w:proofErr w:type="spellStart"/>
            <w:r w:rsidRPr="0017071A">
              <w:rPr>
                <w:rFonts w:cs="Arial"/>
                <w:szCs w:val="14"/>
                <w:lang w:val="en-GB"/>
              </w:rPr>
              <w:t>Ld</w:t>
            </w:r>
            <w:proofErr w:type="spellEnd"/>
            <w:r w:rsidRPr="0017071A">
              <w:rPr>
                <w:rFonts w:cs="Arial"/>
                <w:szCs w:val="14"/>
                <w:lang w:val="en-GB"/>
              </w:rPr>
              <w:t>) *</w:t>
            </w:r>
            <w:proofErr w:type="spellStart"/>
            <w:r w:rsidRPr="0017071A">
              <w:rPr>
                <w:rFonts w:cs="Arial"/>
                <w:szCs w:val="14"/>
                <w:lang w:val="en-GB"/>
              </w:rPr>
              <w:t>V</w:t>
            </w:r>
            <w:r w:rsidRPr="0017071A">
              <w:rPr>
                <w:rFonts w:cs="Arial"/>
                <w:szCs w:val="14"/>
                <w:vertAlign w:val="subscript"/>
                <w:lang w:val="en-GB"/>
              </w:rPr>
              <w:t>r</w:t>
            </w:r>
            <w:proofErr w:type="spellEnd"/>
            <w:r w:rsidRPr="0017071A">
              <w:rPr>
                <w:rFonts w:cs="Arial"/>
                <w:szCs w:val="14"/>
                <w:lang w:val="en-GB"/>
              </w:rPr>
              <w:t>*F/86400</w:t>
            </w:r>
          </w:p>
        </w:tc>
      </w:tr>
      <w:tr w:rsidR="00CF2715" w:rsidRPr="00B57B36" w14:paraId="305979B6"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309D6575" w14:textId="1C9F4428" w:rsidR="00CF2715" w:rsidRDefault="00CF2715" w:rsidP="00CF2715">
            <w:pPr>
              <w:pStyle w:val="CETBodytext"/>
              <w:ind w:right="-1"/>
              <w:jc w:val="center"/>
              <w:rPr>
                <w:rFonts w:cs="Arial"/>
                <w:szCs w:val="18"/>
                <w:lang w:val="en-GB"/>
              </w:rPr>
            </w:pPr>
            <w:r>
              <w:rPr>
                <w:rFonts w:cs="Arial"/>
                <w:szCs w:val="18"/>
                <w:lang w:val="en-GB"/>
              </w:rPr>
              <w:t>Fe</w:t>
            </w:r>
            <w:r w:rsidRPr="00075233">
              <w:rPr>
                <w:rFonts w:cs="Arial"/>
                <w:szCs w:val="18"/>
                <w:vertAlign w:val="superscript"/>
                <w:lang w:val="en-GB"/>
              </w:rPr>
              <w:t>3</w:t>
            </w:r>
            <w:r w:rsidR="00075233" w:rsidRPr="00075233">
              <w:rPr>
                <w:rFonts w:cs="Arial"/>
                <w:szCs w:val="18"/>
                <w:vertAlign w:val="superscript"/>
                <w:lang w:val="en-GB"/>
              </w:rPr>
              <w:t>+</w:t>
            </w:r>
            <w:r w:rsidR="00075233">
              <w:rPr>
                <w:rFonts w:cs="Arial"/>
                <w:szCs w:val="18"/>
                <w:lang w:val="en-GB"/>
              </w:rPr>
              <w:t xml:space="preserve"> Reduction Rate (</w:t>
            </w:r>
            <w:proofErr w:type="spellStart"/>
            <w:r w:rsidR="00075233">
              <w:rPr>
                <w:rFonts w:cs="Arial"/>
                <w:szCs w:val="18"/>
                <w:lang w:val="en-GB"/>
              </w:rPr>
              <w:t>meq</w:t>
            </w:r>
            <w:proofErr w:type="spellEnd"/>
            <w:r w:rsidR="00075233">
              <w:rPr>
                <w:rFonts w:cs="Arial"/>
                <w:szCs w:val="18"/>
                <w:lang w:val="en-GB"/>
              </w:rPr>
              <w:t>/</w:t>
            </w:r>
            <w:proofErr w:type="spellStart"/>
            <w:r w:rsidR="00075233">
              <w:rPr>
                <w:rFonts w:cs="Arial"/>
                <w:szCs w:val="18"/>
                <w:lang w:val="en-GB"/>
              </w:rPr>
              <w:t>Ld</w:t>
            </w:r>
            <w:proofErr w:type="spellEnd"/>
            <w:r w:rsidR="00075233">
              <w:rPr>
                <w:rFonts w:cs="Arial"/>
                <w:szCs w:val="18"/>
                <w:lang w:val="en-GB"/>
              </w:rPr>
              <w:t>)</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14A0974" w14:textId="0EDFE3E0" w:rsidR="00CF2715" w:rsidRPr="0017071A" w:rsidRDefault="00D7219E" w:rsidP="00014A10">
            <w:pPr>
              <w:pStyle w:val="CETBodytext"/>
              <w:ind w:right="-1"/>
              <w:jc w:val="center"/>
              <w:rPr>
                <w:rFonts w:cs="Arial"/>
                <w:szCs w:val="14"/>
                <w:lang w:val="it-IT"/>
              </w:rPr>
            </w:pPr>
            <w:r w:rsidRPr="0017071A">
              <w:rPr>
                <w:rFonts w:cs="Arial"/>
                <w:szCs w:val="14"/>
                <w:lang w:val="it-IT"/>
              </w:rPr>
              <w:t>Q/</w:t>
            </w:r>
            <w:proofErr w:type="spellStart"/>
            <w:r w:rsidRPr="0017071A">
              <w:rPr>
                <w:rFonts w:cs="Arial"/>
                <w:szCs w:val="14"/>
                <w:lang w:val="it-IT"/>
              </w:rPr>
              <w:t>V</w:t>
            </w:r>
            <w:r w:rsidRPr="0017071A">
              <w:rPr>
                <w:rFonts w:cs="Arial"/>
                <w:szCs w:val="14"/>
                <w:vertAlign w:val="subscript"/>
                <w:lang w:val="it-IT"/>
              </w:rPr>
              <w:t>r</w:t>
            </w:r>
            <w:proofErr w:type="spellEnd"/>
            <w:r w:rsidRPr="0017071A">
              <w:rPr>
                <w:rFonts w:cs="Arial"/>
                <w:szCs w:val="14"/>
                <w:lang w:val="it-IT"/>
              </w:rPr>
              <w:t>*[Fe</w:t>
            </w:r>
            <w:r w:rsidRPr="0017071A">
              <w:rPr>
                <w:rFonts w:cs="Arial"/>
                <w:szCs w:val="14"/>
                <w:vertAlign w:val="superscript"/>
                <w:lang w:val="it-IT"/>
              </w:rPr>
              <w:t>3</w:t>
            </w:r>
            <w:proofErr w:type="gramStart"/>
            <w:r w:rsidRPr="0017071A">
              <w:rPr>
                <w:rFonts w:cs="Arial"/>
                <w:szCs w:val="14"/>
                <w:vertAlign w:val="superscript"/>
                <w:lang w:val="it-IT"/>
              </w:rPr>
              <w:t>+</w:t>
            </w:r>
            <w:r w:rsidRPr="0017071A">
              <w:rPr>
                <w:rFonts w:cs="Arial"/>
                <w:szCs w:val="14"/>
                <w:lang w:val="it-IT"/>
              </w:rPr>
              <w:t>]</w:t>
            </w:r>
            <w:proofErr w:type="spellStart"/>
            <w:r w:rsidRPr="0017071A">
              <w:rPr>
                <w:rFonts w:cs="Arial"/>
                <w:szCs w:val="14"/>
                <w:vertAlign w:val="subscript"/>
                <w:lang w:val="it-IT"/>
              </w:rPr>
              <w:t>removed</w:t>
            </w:r>
            <w:proofErr w:type="spellEnd"/>
            <w:proofErr w:type="gramEnd"/>
            <w:r w:rsidRPr="0017071A">
              <w:rPr>
                <w:rFonts w:cs="Arial"/>
                <w:szCs w:val="14"/>
                <w:lang w:val="it-IT"/>
              </w:rPr>
              <w:t>*1</w:t>
            </w:r>
          </w:p>
        </w:tc>
      </w:tr>
      <w:tr w:rsidR="00075233" w:rsidRPr="00B57B36" w14:paraId="31542E8E"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3AA33487" w14:textId="30D0EF1C" w:rsidR="00075233" w:rsidRPr="00075233" w:rsidRDefault="00075233" w:rsidP="00075233">
            <w:pPr>
              <w:pStyle w:val="CETBodytext"/>
              <w:ind w:right="-1"/>
              <w:jc w:val="center"/>
              <w:rPr>
                <w:rFonts w:cs="Arial"/>
                <w:szCs w:val="18"/>
                <w:lang w:val="en-GB"/>
              </w:rPr>
            </w:pPr>
            <w:r>
              <w:rPr>
                <w:rFonts w:cs="Arial"/>
                <w:szCs w:val="18"/>
                <w:lang w:val="en-GB"/>
              </w:rPr>
              <w:t>Fe</w:t>
            </w:r>
            <w:r w:rsidRPr="00075233">
              <w:rPr>
                <w:rFonts w:cs="Arial"/>
                <w:szCs w:val="18"/>
                <w:vertAlign w:val="superscript"/>
                <w:lang w:val="en-GB"/>
              </w:rPr>
              <w:t>3+</w:t>
            </w:r>
            <w:r>
              <w:rPr>
                <w:rFonts w:cs="Arial"/>
                <w:szCs w:val="18"/>
                <w:lang w:val="en-GB"/>
              </w:rPr>
              <w:t xml:space="preserve"> Rate (mA)</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222EFBF" w14:textId="5EC12F5B" w:rsidR="00075233" w:rsidRPr="0017071A" w:rsidRDefault="00014A10" w:rsidP="00CF2715">
            <w:pPr>
              <w:pStyle w:val="CETBodytext"/>
              <w:ind w:right="-1"/>
              <w:jc w:val="center"/>
              <w:rPr>
                <w:rFonts w:cs="Arial"/>
                <w:szCs w:val="14"/>
                <w:lang w:val="en-GB"/>
              </w:rPr>
            </w:pPr>
            <w:r w:rsidRPr="0017071A">
              <w:rPr>
                <w:rFonts w:cs="Arial"/>
                <w:szCs w:val="14"/>
                <w:lang w:val="en-GB"/>
              </w:rPr>
              <w:t>RFe</w:t>
            </w:r>
            <w:r w:rsidRPr="0017071A">
              <w:rPr>
                <w:rFonts w:cs="Arial"/>
                <w:szCs w:val="14"/>
                <w:vertAlign w:val="superscript"/>
                <w:lang w:val="en-GB"/>
              </w:rPr>
              <w:t>3+</w:t>
            </w:r>
            <w:r w:rsidRPr="0017071A">
              <w:rPr>
                <w:rFonts w:cs="Arial"/>
                <w:szCs w:val="14"/>
                <w:lang w:val="en-GB"/>
              </w:rPr>
              <w:t xml:space="preserve"> (µ</w:t>
            </w:r>
            <w:proofErr w:type="spellStart"/>
            <w:r w:rsidRPr="0017071A">
              <w:rPr>
                <w:rFonts w:cs="Arial"/>
                <w:szCs w:val="14"/>
                <w:lang w:val="en-GB"/>
              </w:rPr>
              <w:t>eq</w:t>
            </w:r>
            <w:proofErr w:type="spellEnd"/>
            <w:r w:rsidRPr="0017071A">
              <w:rPr>
                <w:rFonts w:cs="Arial"/>
                <w:szCs w:val="14"/>
                <w:lang w:val="en-GB"/>
              </w:rPr>
              <w:t>/</w:t>
            </w:r>
            <w:proofErr w:type="spellStart"/>
            <w:r w:rsidRPr="0017071A">
              <w:rPr>
                <w:rFonts w:cs="Arial"/>
                <w:szCs w:val="14"/>
                <w:lang w:val="en-GB"/>
              </w:rPr>
              <w:t>Ld</w:t>
            </w:r>
            <w:proofErr w:type="spellEnd"/>
            <w:r w:rsidRPr="0017071A">
              <w:rPr>
                <w:rFonts w:cs="Arial"/>
                <w:szCs w:val="14"/>
                <w:lang w:val="en-GB"/>
              </w:rPr>
              <w:t>) *</w:t>
            </w:r>
            <w:proofErr w:type="spellStart"/>
            <w:r w:rsidRPr="0017071A">
              <w:rPr>
                <w:rFonts w:cs="Arial"/>
                <w:szCs w:val="14"/>
                <w:lang w:val="en-GB"/>
              </w:rPr>
              <w:t>V</w:t>
            </w:r>
            <w:r w:rsidRPr="0017071A">
              <w:rPr>
                <w:rFonts w:cs="Arial"/>
                <w:szCs w:val="14"/>
                <w:vertAlign w:val="subscript"/>
                <w:lang w:val="en-GB"/>
              </w:rPr>
              <w:t>r</w:t>
            </w:r>
            <w:proofErr w:type="spellEnd"/>
            <w:r w:rsidRPr="0017071A">
              <w:rPr>
                <w:rFonts w:cs="Arial"/>
                <w:szCs w:val="14"/>
                <w:lang w:val="en-GB"/>
              </w:rPr>
              <w:t>*F/86400</w:t>
            </w:r>
          </w:p>
        </w:tc>
      </w:tr>
      <w:tr w:rsidR="00075233" w:rsidRPr="00B57B36" w14:paraId="4A6D5F51"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86E8F55" w14:textId="7E522494" w:rsidR="00075233" w:rsidRDefault="00075233" w:rsidP="00D80B37">
            <w:pPr>
              <w:pStyle w:val="CETBodytext"/>
              <w:ind w:right="-1"/>
              <w:jc w:val="center"/>
              <w:rPr>
                <w:rFonts w:cs="Arial"/>
                <w:szCs w:val="18"/>
                <w:lang w:val="en-GB"/>
              </w:rPr>
            </w:pPr>
            <w:r>
              <w:rPr>
                <w:rFonts w:cs="Arial"/>
                <w:szCs w:val="18"/>
                <w:lang w:val="en-GB"/>
              </w:rPr>
              <w:t>Coulombic Efficiency RD (CE</w:t>
            </w:r>
            <w:r w:rsidRPr="00075233">
              <w:rPr>
                <w:rFonts w:cs="Arial"/>
                <w:szCs w:val="18"/>
                <w:vertAlign w:val="subscript"/>
                <w:lang w:val="en-GB"/>
              </w:rPr>
              <w:t>RD</w:t>
            </w:r>
            <w:r>
              <w:rPr>
                <w:rFonts w:cs="Arial"/>
                <w:szCs w:val="18"/>
                <w:lang w:val="en-GB"/>
              </w:rPr>
              <w:t xml:space="preserve"> %)</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347D6A8C" w14:textId="61F334C2" w:rsidR="00075233" w:rsidRPr="0017071A" w:rsidRDefault="00014A10" w:rsidP="00075233">
            <w:pPr>
              <w:pStyle w:val="CETBodytext"/>
              <w:ind w:right="-1"/>
              <w:jc w:val="center"/>
              <w:rPr>
                <w:rFonts w:cs="Arial"/>
                <w:szCs w:val="18"/>
                <w:lang w:val="en-GB"/>
              </w:rPr>
            </w:pPr>
            <w:r w:rsidRPr="0017071A">
              <w:rPr>
                <w:rFonts w:cs="Arial"/>
                <w:szCs w:val="18"/>
                <w:lang w:val="it-IT"/>
              </w:rPr>
              <w:t>RD (</w:t>
            </w:r>
            <w:proofErr w:type="spellStart"/>
            <w:r w:rsidRPr="0017071A">
              <w:rPr>
                <w:rFonts w:cs="Arial"/>
                <w:szCs w:val="18"/>
                <w:lang w:val="it-IT"/>
              </w:rPr>
              <w:t>mA</w:t>
            </w:r>
            <w:proofErr w:type="spellEnd"/>
            <w:r w:rsidRPr="0017071A">
              <w:rPr>
                <w:rFonts w:cs="Arial"/>
                <w:szCs w:val="18"/>
                <w:lang w:val="it-IT"/>
              </w:rPr>
              <w:t>) /i (</w:t>
            </w:r>
            <w:proofErr w:type="spellStart"/>
            <w:r w:rsidRPr="0017071A">
              <w:rPr>
                <w:rFonts w:cs="Arial"/>
                <w:szCs w:val="18"/>
                <w:lang w:val="it-IT"/>
              </w:rPr>
              <w:t>mA</w:t>
            </w:r>
            <w:proofErr w:type="spellEnd"/>
            <w:r w:rsidRPr="0017071A">
              <w:rPr>
                <w:rFonts w:cs="Arial"/>
                <w:szCs w:val="18"/>
                <w:lang w:val="it-IT"/>
              </w:rPr>
              <w:t>) *100</w:t>
            </w:r>
          </w:p>
        </w:tc>
      </w:tr>
      <w:tr w:rsidR="00075233" w:rsidRPr="00B57B36" w14:paraId="76DABAF5"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0ADCCC6B" w14:textId="590F11B6" w:rsidR="00075233" w:rsidRDefault="00D80B37" w:rsidP="00075233">
            <w:pPr>
              <w:pStyle w:val="CETBodytext"/>
              <w:ind w:right="-1"/>
              <w:jc w:val="center"/>
              <w:rPr>
                <w:rFonts w:cs="Arial"/>
                <w:szCs w:val="18"/>
                <w:lang w:val="en-GB"/>
              </w:rPr>
            </w:pPr>
            <w:r>
              <w:rPr>
                <w:rFonts w:cs="Arial"/>
                <w:szCs w:val="18"/>
                <w:lang w:val="en-GB"/>
              </w:rPr>
              <w:t>CE</w:t>
            </w:r>
            <w:r w:rsidRPr="00075233">
              <w:rPr>
                <w:rFonts w:cs="Arial"/>
                <w:szCs w:val="18"/>
                <w:vertAlign w:val="subscript"/>
                <w:lang w:val="en-GB"/>
              </w:rPr>
              <w:t>CH</w:t>
            </w:r>
            <w:r w:rsidRPr="00075233">
              <w:rPr>
                <w:rFonts w:cs="Arial"/>
                <w:sz w:val="12"/>
                <w:szCs w:val="12"/>
                <w:vertAlign w:val="subscript"/>
                <w:lang w:val="en-GB"/>
              </w:rPr>
              <w:t>4</w:t>
            </w:r>
            <w:r>
              <w:rPr>
                <w:rFonts w:cs="Arial"/>
                <w:szCs w:val="18"/>
                <w:lang w:val="en-GB"/>
              </w:rPr>
              <w:t xml:space="preserve"> (%)</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539ADB45" w14:textId="54607F20" w:rsidR="00075233" w:rsidRPr="0017071A" w:rsidRDefault="00C33466" w:rsidP="00075233">
            <w:pPr>
              <w:pStyle w:val="CETBodytext"/>
              <w:ind w:right="-1"/>
              <w:jc w:val="center"/>
              <w:rPr>
                <w:rFonts w:cs="Arial"/>
                <w:szCs w:val="18"/>
                <w:lang w:val="en-GB"/>
              </w:rPr>
            </w:pPr>
            <w:r w:rsidRPr="0017071A">
              <w:rPr>
                <w:rFonts w:cs="Arial"/>
                <w:szCs w:val="18"/>
                <w:lang w:val="it-IT"/>
              </w:rPr>
              <w:t>RN (</w:t>
            </w:r>
            <w:proofErr w:type="spellStart"/>
            <w:r w:rsidRPr="0017071A">
              <w:rPr>
                <w:rFonts w:cs="Arial"/>
                <w:szCs w:val="18"/>
                <w:lang w:val="it-IT"/>
              </w:rPr>
              <w:t>mA</w:t>
            </w:r>
            <w:proofErr w:type="spellEnd"/>
            <w:r w:rsidRPr="0017071A">
              <w:rPr>
                <w:rFonts w:cs="Arial"/>
                <w:szCs w:val="18"/>
                <w:lang w:val="it-IT"/>
              </w:rPr>
              <w:t>) /i (</w:t>
            </w:r>
            <w:proofErr w:type="spellStart"/>
            <w:r w:rsidRPr="0017071A">
              <w:rPr>
                <w:rFonts w:cs="Arial"/>
                <w:szCs w:val="18"/>
                <w:lang w:val="it-IT"/>
              </w:rPr>
              <w:t>mA</w:t>
            </w:r>
            <w:proofErr w:type="spellEnd"/>
            <w:r w:rsidRPr="0017071A">
              <w:rPr>
                <w:rFonts w:cs="Arial"/>
                <w:szCs w:val="18"/>
                <w:lang w:val="it-IT"/>
              </w:rPr>
              <w:t>) *100</w:t>
            </w:r>
          </w:p>
        </w:tc>
      </w:tr>
      <w:tr w:rsidR="00075233" w:rsidRPr="00B57B36" w14:paraId="38267EB4"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40EB8DC0" w14:textId="3C514E81" w:rsidR="00075233" w:rsidRPr="00D80B37" w:rsidRDefault="00D80B37" w:rsidP="00075233">
            <w:pPr>
              <w:pStyle w:val="CETBodytext"/>
              <w:ind w:right="-1"/>
              <w:jc w:val="center"/>
              <w:rPr>
                <w:rFonts w:cs="Arial"/>
                <w:szCs w:val="18"/>
                <w:lang w:val="en-GB"/>
              </w:rPr>
            </w:pPr>
            <w:r>
              <w:rPr>
                <w:rFonts w:cs="Arial"/>
                <w:szCs w:val="18"/>
                <w:lang w:val="en-GB"/>
              </w:rPr>
              <w:t>CE</w:t>
            </w:r>
            <w:r w:rsidRPr="00075233">
              <w:rPr>
                <w:rFonts w:cs="Arial"/>
                <w:szCs w:val="18"/>
                <w:vertAlign w:val="subscript"/>
                <w:lang w:val="en-GB"/>
              </w:rPr>
              <w:t>SR</w:t>
            </w:r>
            <w:r>
              <w:rPr>
                <w:rFonts w:cs="Arial"/>
                <w:szCs w:val="18"/>
                <w:lang w:val="en-GB"/>
              </w:rPr>
              <w:t xml:space="preserve"> (%)</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27A9CCE7" w14:textId="74B815D9" w:rsidR="00075233" w:rsidRPr="0017071A" w:rsidRDefault="00C33466" w:rsidP="00075233">
            <w:pPr>
              <w:pStyle w:val="CETBodytext"/>
              <w:ind w:right="-1"/>
              <w:jc w:val="center"/>
              <w:rPr>
                <w:rFonts w:cs="Arial"/>
                <w:szCs w:val="18"/>
                <w:lang w:val="en-GB"/>
              </w:rPr>
            </w:pPr>
            <w:r w:rsidRPr="0017071A">
              <w:rPr>
                <w:rFonts w:cs="Arial"/>
                <w:szCs w:val="18"/>
                <w:lang w:val="it-IT"/>
              </w:rPr>
              <w:t>RS (</w:t>
            </w:r>
            <w:proofErr w:type="spellStart"/>
            <w:r w:rsidRPr="0017071A">
              <w:rPr>
                <w:rFonts w:cs="Arial"/>
                <w:szCs w:val="18"/>
                <w:lang w:val="it-IT"/>
              </w:rPr>
              <w:t>mA</w:t>
            </w:r>
            <w:proofErr w:type="spellEnd"/>
            <w:r w:rsidRPr="0017071A">
              <w:rPr>
                <w:rFonts w:cs="Arial"/>
                <w:szCs w:val="18"/>
                <w:lang w:val="it-IT"/>
              </w:rPr>
              <w:t>) /i (</w:t>
            </w:r>
            <w:proofErr w:type="spellStart"/>
            <w:r w:rsidRPr="0017071A">
              <w:rPr>
                <w:rFonts w:cs="Arial"/>
                <w:szCs w:val="18"/>
                <w:lang w:val="it-IT"/>
              </w:rPr>
              <w:t>mA</w:t>
            </w:r>
            <w:proofErr w:type="spellEnd"/>
            <w:r w:rsidRPr="0017071A">
              <w:rPr>
                <w:rFonts w:cs="Arial"/>
                <w:szCs w:val="18"/>
                <w:lang w:val="it-IT"/>
              </w:rPr>
              <w:t>) *100</w:t>
            </w:r>
          </w:p>
        </w:tc>
      </w:tr>
      <w:tr w:rsidR="00D80B37" w:rsidRPr="00B57B36" w14:paraId="6531C6E5" w14:textId="77777777" w:rsidTr="007D4C2C">
        <w:tc>
          <w:tcPr>
            <w:tcW w:w="3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547FA569" w14:textId="4E2DDEB3" w:rsidR="00D80B37" w:rsidRDefault="00D80B37" w:rsidP="00D80B37">
            <w:pPr>
              <w:pStyle w:val="CETBodytext"/>
              <w:ind w:right="-1"/>
              <w:jc w:val="center"/>
              <w:rPr>
                <w:rFonts w:cs="Arial"/>
                <w:szCs w:val="18"/>
                <w:lang w:val="en-GB"/>
              </w:rPr>
            </w:pPr>
            <w:r>
              <w:rPr>
                <w:rFonts w:cs="Arial"/>
                <w:szCs w:val="18"/>
                <w:lang w:val="en-GB"/>
              </w:rPr>
              <w:t>CE</w:t>
            </w:r>
            <w:r w:rsidRPr="00075233">
              <w:rPr>
                <w:rFonts w:cs="Arial"/>
                <w:szCs w:val="18"/>
                <w:vertAlign w:val="subscript"/>
                <w:lang w:val="en-GB"/>
              </w:rPr>
              <w:t>NR</w:t>
            </w:r>
            <w:r>
              <w:rPr>
                <w:rFonts w:cs="Arial"/>
                <w:szCs w:val="18"/>
                <w:lang w:val="en-GB"/>
              </w:rPr>
              <w:t xml:space="preserve"> (%)</w:t>
            </w:r>
          </w:p>
        </w:tc>
        <w:tc>
          <w:tcPr>
            <w:tcW w:w="4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14:paraId="3FF99765" w14:textId="07A5743B" w:rsidR="00D80B37" w:rsidRPr="0017071A" w:rsidRDefault="00C33466" w:rsidP="00D80B37">
            <w:pPr>
              <w:pStyle w:val="CETBodytext"/>
              <w:ind w:right="-1"/>
              <w:jc w:val="center"/>
              <w:rPr>
                <w:rFonts w:cs="Arial"/>
                <w:szCs w:val="18"/>
                <w:lang w:val="en-GB"/>
              </w:rPr>
            </w:pPr>
            <w:r w:rsidRPr="0017071A">
              <w:rPr>
                <w:rFonts w:cs="Arial"/>
                <w:szCs w:val="18"/>
                <w:lang w:val="it-IT"/>
              </w:rPr>
              <w:t>RCH</w:t>
            </w:r>
            <w:r w:rsidRPr="0017071A">
              <w:rPr>
                <w:rFonts w:cs="Arial"/>
                <w:szCs w:val="18"/>
                <w:vertAlign w:val="subscript"/>
                <w:lang w:val="it-IT"/>
              </w:rPr>
              <w:t>4</w:t>
            </w:r>
            <w:r w:rsidRPr="0017071A">
              <w:rPr>
                <w:rFonts w:cs="Arial"/>
                <w:szCs w:val="18"/>
                <w:lang w:val="it-IT"/>
              </w:rPr>
              <w:t xml:space="preserve"> (</w:t>
            </w:r>
            <w:proofErr w:type="spellStart"/>
            <w:r w:rsidRPr="0017071A">
              <w:rPr>
                <w:rFonts w:cs="Arial"/>
                <w:szCs w:val="18"/>
                <w:lang w:val="it-IT"/>
              </w:rPr>
              <w:t>mA</w:t>
            </w:r>
            <w:proofErr w:type="spellEnd"/>
            <w:r w:rsidRPr="0017071A">
              <w:rPr>
                <w:rFonts w:cs="Arial"/>
                <w:szCs w:val="18"/>
                <w:lang w:val="it-IT"/>
              </w:rPr>
              <w:t>) /i (</w:t>
            </w:r>
            <w:proofErr w:type="spellStart"/>
            <w:r w:rsidRPr="0017071A">
              <w:rPr>
                <w:rFonts w:cs="Arial"/>
                <w:szCs w:val="18"/>
                <w:lang w:val="it-IT"/>
              </w:rPr>
              <w:t>mA</w:t>
            </w:r>
            <w:proofErr w:type="spellEnd"/>
            <w:r w:rsidRPr="0017071A">
              <w:rPr>
                <w:rFonts w:cs="Arial"/>
                <w:szCs w:val="18"/>
                <w:lang w:val="it-IT"/>
              </w:rPr>
              <w:t>) *100</w:t>
            </w:r>
          </w:p>
        </w:tc>
      </w:tr>
      <w:tr w:rsidR="00D80B37" w:rsidRPr="00B57B36" w14:paraId="6490186C" w14:textId="77777777" w:rsidTr="007D4C2C">
        <w:tc>
          <w:tcPr>
            <w:tcW w:w="3998" w:type="dxa"/>
            <w:tcBorders>
              <w:top w:val="single" w:sz="6" w:space="0" w:color="FFFFFF" w:themeColor="background1"/>
              <w:left w:val="single" w:sz="6" w:space="0" w:color="FFFFFF" w:themeColor="background1"/>
              <w:bottom w:val="single" w:sz="12" w:space="0" w:color="00863D"/>
              <w:right w:val="single" w:sz="6" w:space="0" w:color="FFFFFF" w:themeColor="background1"/>
            </w:tcBorders>
            <w:shd w:val="clear" w:color="auto" w:fill="FFFFFF"/>
          </w:tcPr>
          <w:p w14:paraId="6973243D" w14:textId="400801C7" w:rsidR="00D80B37" w:rsidRDefault="00D80B37" w:rsidP="00D80B37">
            <w:pPr>
              <w:pStyle w:val="CETBodytext"/>
              <w:ind w:right="-1"/>
              <w:jc w:val="center"/>
              <w:rPr>
                <w:rFonts w:cs="Arial"/>
                <w:szCs w:val="18"/>
                <w:lang w:val="en-GB"/>
              </w:rPr>
            </w:pPr>
            <w:r>
              <w:rPr>
                <w:rFonts w:cs="Arial"/>
                <w:szCs w:val="18"/>
                <w:lang w:val="en-GB"/>
              </w:rPr>
              <w:t>CE</w:t>
            </w:r>
            <w:r w:rsidRPr="00D80B37">
              <w:rPr>
                <w:rFonts w:cs="Arial"/>
                <w:szCs w:val="18"/>
                <w:vertAlign w:val="subscript"/>
                <w:lang w:val="en-GB"/>
              </w:rPr>
              <w:t>Fe</w:t>
            </w:r>
            <w:r w:rsidRPr="00D80B37">
              <w:rPr>
                <w:rFonts w:cs="Arial"/>
                <w:szCs w:val="18"/>
                <w:vertAlign w:val="superscript"/>
                <w:lang w:val="en-GB"/>
              </w:rPr>
              <w:t>3+</w:t>
            </w:r>
            <w:r>
              <w:rPr>
                <w:rFonts w:cs="Arial"/>
                <w:szCs w:val="18"/>
                <w:lang w:val="en-GB"/>
              </w:rPr>
              <w:t xml:space="preserve"> (%)</w:t>
            </w:r>
          </w:p>
        </w:tc>
        <w:tc>
          <w:tcPr>
            <w:tcW w:w="4796" w:type="dxa"/>
            <w:tcBorders>
              <w:top w:val="single" w:sz="6" w:space="0" w:color="FFFFFF" w:themeColor="background1"/>
              <w:left w:val="single" w:sz="6" w:space="0" w:color="FFFFFF" w:themeColor="background1"/>
              <w:bottom w:val="single" w:sz="12" w:space="0" w:color="00863D"/>
              <w:right w:val="single" w:sz="6" w:space="0" w:color="FFFFFF" w:themeColor="background1"/>
            </w:tcBorders>
            <w:shd w:val="clear" w:color="auto" w:fill="FFFFFF"/>
          </w:tcPr>
          <w:p w14:paraId="014238F7" w14:textId="1AAEC441" w:rsidR="00D80B37" w:rsidRPr="0017071A" w:rsidRDefault="00C33466" w:rsidP="00D80B37">
            <w:pPr>
              <w:pStyle w:val="CETBodytext"/>
              <w:ind w:right="-1"/>
              <w:jc w:val="center"/>
              <w:rPr>
                <w:rFonts w:cs="Arial"/>
                <w:szCs w:val="14"/>
                <w:lang w:val="it-IT"/>
              </w:rPr>
            </w:pPr>
            <w:r w:rsidRPr="0017071A">
              <w:rPr>
                <w:rFonts w:cs="Arial"/>
                <w:szCs w:val="14"/>
                <w:lang w:val="it-IT"/>
              </w:rPr>
              <w:t>RFe</w:t>
            </w:r>
            <w:r w:rsidRPr="0017071A">
              <w:rPr>
                <w:rFonts w:cs="Arial"/>
                <w:szCs w:val="14"/>
                <w:vertAlign w:val="superscript"/>
                <w:lang w:val="it-IT"/>
              </w:rPr>
              <w:t xml:space="preserve">3+ </w:t>
            </w:r>
            <w:r w:rsidRPr="0017071A">
              <w:rPr>
                <w:rFonts w:cs="Arial"/>
                <w:szCs w:val="14"/>
                <w:lang w:val="it-IT"/>
              </w:rPr>
              <w:t>(</w:t>
            </w:r>
            <w:proofErr w:type="spellStart"/>
            <w:r w:rsidRPr="0017071A">
              <w:rPr>
                <w:rFonts w:cs="Arial"/>
                <w:szCs w:val="14"/>
                <w:lang w:val="it-IT"/>
              </w:rPr>
              <w:t>mA</w:t>
            </w:r>
            <w:proofErr w:type="spellEnd"/>
            <w:r w:rsidRPr="0017071A">
              <w:rPr>
                <w:rFonts w:cs="Arial"/>
                <w:szCs w:val="14"/>
                <w:lang w:val="it-IT"/>
              </w:rPr>
              <w:t>) /i (</w:t>
            </w:r>
            <w:proofErr w:type="spellStart"/>
            <w:r w:rsidRPr="0017071A">
              <w:rPr>
                <w:rFonts w:cs="Arial"/>
                <w:szCs w:val="14"/>
                <w:lang w:val="it-IT"/>
              </w:rPr>
              <w:t>mA</w:t>
            </w:r>
            <w:proofErr w:type="spellEnd"/>
            <w:r w:rsidRPr="0017071A">
              <w:rPr>
                <w:rFonts w:cs="Arial"/>
                <w:szCs w:val="14"/>
                <w:lang w:val="it-IT"/>
              </w:rPr>
              <w:t>) *100</w:t>
            </w:r>
          </w:p>
        </w:tc>
      </w:tr>
    </w:tbl>
    <w:p w14:paraId="533D8292" w14:textId="77777777" w:rsidR="003B63F5" w:rsidRPr="00B57B36" w:rsidRDefault="003B63F5" w:rsidP="003B63F5">
      <w:pPr>
        <w:pStyle w:val="CETListbullets"/>
      </w:pPr>
    </w:p>
    <w:p w14:paraId="677EBFF0" w14:textId="57E1A30D" w:rsidR="00600535" w:rsidRDefault="00DC4C5B" w:rsidP="00600535">
      <w:pPr>
        <w:pStyle w:val="CETHeading1"/>
        <w:tabs>
          <w:tab w:val="right" w:pos="7100"/>
        </w:tabs>
        <w:jc w:val="both"/>
        <w:rPr>
          <w:lang w:val="en-GB"/>
        </w:rPr>
      </w:pPr>
      <w:r>
        <w:rPr>
          <w:lang w:val="en-GB"/>
        </w:rPr>
        <w:t>Results and Discussions</w:t>
      </w:r>
    </w:p>
    <w:p w14:paraId="578C177B" w14:textId="1D30AE1D" w:rsidR="004E18CD" w:rsidRPr="00B57B36" w:rsidRDefault="004E18CD" w:rsidP="004E18CD">
      <w:pPr>
        <w:pStyle w:val="CETHeading1"/>
        <w:numPr>
          <w:ilvl w:val="0"/>
          <w:numId w:val="0"/>
        </w:numPr>
        <w:tabs>
          <w:tab w:val="right" w:pos="7100"/>
        </w:tabs>
        <w:jc w:val="both"/>
        <w:rPr>
          <w:lang w:val="en-GB"/>
        </w:rPr>
      </w:pPr>
      <w:r>
        <w:rPr>
          <w:lang w:val="en-GB"/>
        </w:rPr>
        <w:t>3.1 RD by-products speciation in the different experimental set-ups</w:t>
      </w:r>
    </w:p>
    <w:p w14:paraId="0639194B" w14:textId="77777777" w:rsidR="004E18CD" w:rsidRPr="004E18CD" w:rsidRDefault="004E18CD" w:rsidP="004E18CD">
      <w:pPr>
        <w:pStyle w:val="CETBodytext"/>
        <w:rPr>
          <w:lang w:val="en-GB"/>
        </w:rPr>
      </w:pPr>
    </w:p>
    <w:p w14:paraId="7FD42486" w14:textId="2319A506" w:rsidR="00600535" w:rsidRDefault="000052FB" w:rsidP="00EB0AC5">
      <w:pPr>
        <w:pStyle w:val="CETBodytext"/>
      </w:pPr>
      <w:r>
        <w:rPr>
          <w:lang w:val="en-GB"/>
        </w:rPr>
        <w:t>In</w:t>
      </w:r>
      <w:r w:rsidR="000F1D8D">
        <w:rPr>
          <w:lang w:val="en-GB"/>
        </w:rPr>
        <w:t xml:space="preserve"> the different </w:t>
      </w:r>
      <w:r w:rsidR="00BB03FD">
        <w:rPr>
          <w:lang w:val="en-GB"/>
        </w:rPr>
        <w:t xml:space="preserve">experimental </w:t>
      </w:r>
      <w:r w:rsidR="000F1D8D">
        <w:rPr>
          <w:lang w:val="en-GB"/>
        </w:rPr>
        <w:t xml:space="preserve">explored </w:t>
      </w:r>
      <w:r w:rsidR="00BB03FD">
        <w:rPr>
          <w:lang w:val="en-GB"/>
        </w:rPr>
        <w:t xml:space="preserve">conditions, </w:t>
      </w:r>
      <w:r w:rsidR="000F1D8D">
        <w:rPr>
          <w:lang w:val="en-GB"/>
        </w:rPr>
        <w:t>the</w:t>
      </w:r>
      <w:r w:rsidR="00802CC7">
        <w:rPr>
          <w:lang w:val="en-GB"/>
        </w:rPr>
        <w:t xml:space="preserve"> different performances have been compared by the reductive dechlorination rate, the </w:t>
      </w:r>
      <w:r w:rsidR="00087F17">
        <w:rPr>
          <w:lang w:val="en-GB"/>
        </w:rPr>
        <w:t>by-products</w:t>
      </w:r>
      <w:r w:rsidR="00F630CB">
        <w:rPr>
          <w:lang w:val="en-GB"/>
        </w:rPr>
        <w:t xml:space="preserve"> of</w:t>
      </w:r>
      <w:r w:rsidR="00802CC7">
        <w:t xml:space="preserve"> reductive dechlorination </w:t>
      </w:r>
      <w:r w:rsidR="00F630CB">
        <w:t xml:space="preserve">and the </w:t>
      </w:r>
      <w:r w:rsidR="00EB0AC5">
        <w:t xml:space="preserve">side reactions </w:t>
      </w:r>
      <w:r w:rsidR="00006FA5">
        <w:t>which</w:t>
      </w:r>
      <w:r w:rsidR="00EB0AC5">
        <w:t xml:space="preserve"> compete with the reducing power.</w:t>
      </w:r>
    </w:p>
    <w:p w14:paraId="4F0AF220" w14:textId="29DC9885" w:rsidR="00677164" w:rsidRDefault="00553B18" w:rsidP="00677164">
      <w:pPr>
        <w:pStyle w:val="CETListbullets"/>
        <w:ind w:left="0" w:firstLine="0"/>
      </w:pPr>
      <w:r>
        <w:t xml:space="preserve">In the mineral medium period, the only RD by-products were </w:t>
      </w:r>
      <w:r w:rsidR="00EB0AC5">
        <w:t>e</w:t>
      </w:r>
      <w:r>
        <w:t xml:space="preserve">thylene and </w:t>
      </w:r>
      <w:r w:rsidR="00EB0AC5">
        <w:t>v</w:t>
      </w:r>
      <w:r>
        <w:t>inyl chloride</w:t>
      </w:r>
      <w:r w:rsidR="00B30054">
        <w:t xml:space="preserve"> which concentrations depends on the working electrode potential, much more the </w:t>
      </w:r>
      <w:r w:rsidR="00006FA5">
        <w:t>reductive</w:t>
      </w:r>
      <w:r w:rsidR="00B30054">
        <w:t xml:space="preserve"> power was high </w:t>
      </w:r>
      <w:r w:rsidR="00802407">
        <w:t>more reduced species has and higher concentration</w:t>
      </w:r>
      <w:r w:rsidR="006509B6">
        <w:t xml:space="preserve"> from</w:t>
      </w:r>
      <w:r w:rsidR="002704F6">
        <w:t xml:space="preserve"> 30 </w:t>
      </w:r>
      <w:r w:rsidR="002704F6">
        <w:rPr>
          <w:rFonts w:cs="Arial"/>
        </w:rPr>
        <w:t>±</w:t>
      </w:r>
      <w:r w:rsidR="002704F6">
        <w:t xml:space="preserve"> </w:t>
      </w:r>
      <w:r w:rsidR="00B542ED">
        <w:t>2</w:t>
      </w:r>
      <w:r w:rsidR="002704F6">
        <w:t xml:space="preserve"> </w:t>
      </w:r>
      <w:r w:rsidR="002704F6" w:rsidRPr="00682A74">
        <w:t>µ</w:t>
      </w:r>
      <w:r w:rsidR="002704F6">
        <w:t xml:space="preserve">mol/L, 41 </w:t>
      </w:r>
      <w:r w:rsidR="002704F6">
        <w:rPr>
          <w:rFonts w:cs="Arial"/>
        </w:rPr>
        <w:t>±</w:t>
      </w:r>
      <w:r w:rsidR="002704F6">
        <w:t xml:space="preserve"> 7 </w:t>
      </w:r>
      <w:r w:rsidR="002704F6" w:rsidRPr="00682A74">
        <w:t>µ</w:t>
      </w:r>
      <w:r w:rsidR="002704F6">
        <w:t xml:space="preserve">mol/L to 29 </w:t>
      </w:r>
      <w:r w:rsidR="002704F6">
        <w:rPr>
          <w:rFonts w:cs="Arial"/>
        </w:rPr>
        <w:t>±</w:t>
      </w:r>
      <w:r w:rsidR="002704F6">
        <w:t xml:space="preserve"> </w:t>
      </w:r>
      <w:r w:rsidR="005D05A2">
        <w:t>4</w:t>
      </w:r>
      <w:r w:rsidR="002704F6">
        <w:t xml:space="preserve"> </w:t>
      </w:r>
      <w:r w:rsidR="002704F6" w:rsidRPr="00682A74">
        <w:t>µ</w:t>
      </w:r>
      <w:r w:rsidR="002704F6">
        <w:t xml:space="preserve">mol/L for VC and </w:t>
      </w:r>
      <w:r w:rsidR="00B542ED">
        <w:t>13</w:t>
      </w:r>
      <w:r w:rsidR="002704F6">
        <w:t xml:space="preserve"> </w:t>
      </w:r>
      <w:r w:rsidR="002704F6">
        <w:rPr>
          <w:rFonts w:cs="Arial"/>
        </w:rPr>
        <w:t>±</w:t>
      </w:r>
      <w:r w:rsidR="002704F6">
        <w:t xml:space="preserve"> </w:t>
      </w:r>
      <w:r w:rsidR="00B542ED">
        <w:t>1</w:t>
      </w:r>
      <w:r w:rsidR="002704F6">
        <w:t xml:space="preserve"> </w:t>
      </w:r>
      <w:r w:rsidR="002704F6" w:rsidRPr="00682A74">
        <w:t>µ</w:t>
      </w:r>
      <w:r w:rsidR="002704F6">
        <w:t xml:space="preserve">mol/L, 19 </w:t>
      </w:r>
      <w:r w:rsidR="002704F6">
        <w:rPr>
          <w:rFonts w:cs="Arial"/>
        </w:rPr>
        <w:t>±</w:t>
      </w:r>
      <w:r w:rsidR="002704F6">
        <w:t xml:space="preserve"> 4 </w:t>
      </w:r>
      <w:r w:rsidR="002704F6" w:rsidRPr="00682A74">
        <w:t>µ</w:t>
      </w:r>
      <w:r w:rsidR="002704F6">
        <w:t xml:space="preserve">mol/L to </w:t>
      </w:r>
      <w:r w:rsidR="005D05A2">
        <w:t>35</w:t>
      </w:r>
      <w:r w:rsidR="002704F6">
        <w:t xml:space="preserve"> </w:t>
      </w:r>
      <w:r w:rsidR="002704F6">
        <w:rPr>
          <w:rFonts w:cs="Arial"/>
        </w:rPr>
        <w:t>±</w:t>
      </w:r>
      <w:r w:rsidR="002704F6">
        <w:t xml:space="preserve"> </w:t>
      </w:r>
      <w:r w:rsidR="005D05A2">
        <w:t>7</w:t>
      </w:r>
      <w:r w:rsidR="002704F6">
        <w:t xml:space="preserve"> </w:t>
      </w:r>
      <w:r w:rsidR="002704F6" w:rsidRPr="00682A74">
        <w:t>µ</w:t>
      </w:r>
      <w:r w:rsidR="002704F6">
        <w:t>mol/L for ethylene</w:t>
      </w:r>
      <w:r w:rsidR="00802407">
        <w:t>. M</w:t>
      </w:r>
      <w:r w:rsidR="00DB380D">
        <w:t xml:space="preserve">oving </w:t>
      </w:r>
      <w:r w:rsidR="007E7879">
        <w:t xml:space="preserve">to the condition with the synthetic groundwater </w:t>
      </w:r>
      <w:r w:rsidR="00DB380D">
        <w:t xml:space="preserve">the </w:t>
      </w:r>
      <w:r w:rsidR="007E40FD">
        <w:t xml:space="preserve">spectrum changed </w:t>
      </w:r>
      <w:r w:rsidR="00A04FEA">
        <w:t xml:space="preserve">as reported in </w:t>
      </w:r>
      <w:r w:rsidR="00A320EA">
        <w:t>figure</w:t>
      </w:r>
      <w:r w:rsidR="00A04FEA">
        <w:t>1, this was probably due to the lack of necessary grow factor</w:t>
      </w:r>
      <w:r w:rsidR="007E7879">
        <w:t>s</w:t>
      </w:r>
      <w:r w:rsidR="00A04FEA">
        <w:t xml:space="preserve"> coupled with the large amount of sulphate and nitrate reduction reactions</w:t>
      </w:r>
      <w:r w:rsidR="007472AC">
        <w:t>, however this type of feeding solution allow to produce a m</w:t>
      </w:r>
      <w:r w:rsidR="00F86B76">
        <w:t>easurable concentration</w:t>
      </w:r>
      <w:r w:rsidR="007472AC">
        <w:t xml:space="preserve"> </w:t>
      </w:r>
      <w:r w:rsidR="00F86B76">
        <w:t>e</w:t>
      </w:r>
      <w:r w:rsidR="007472AC">
        <w:t>thane, the final RD by-product</w:t>
      </w:r>
      <w:r w:rsidR="00A04FEA">
        <w:t>.</w:t>
      </w:r>
      <w:r w:rsidR="007472AC">
        <w:t xml:space="preserve"> During the experimentations with different HRT and reductive potentials</w:t>
      </w:r>
      <w:r w:rsidR="00CD6932">
        <w:t xml:space="preserve"> the RD reaction seems inhibited, and the </w:t>
      </w:r>
      <w:proofErr w:type="spellStart"/>
      <w:r w:rsidR="00A81739">
        <w:t>cDCE</w:t>
      </w:r>
      <w:proofErr w:type="spellEnd"/>
      <w:r w:rsidR="00A81739">
        <w:t xml:space="preserve"> was the principal RD by-product</w:t>
      </w:r>
      <w:r w:rsidR="00CD6932">
        <w:t xml:space="preserve"> were </w:t>
      </w:r>
      <w:r w:rsidR="00D6550F">
        <w:t>most of</w:t>
      </w:r>
      <w:r w:rsidR="00CD6932">
        <w:t xml:space="preserve"> the products in the reactor effluent.</w:t>
      </w:r>
      <w:r w:rsidR="004E18CD">
        <w:t xml:space="preserve"> These experimentations were conducted to clarify the role of sulphate and nitrate reduction </w:t>
      </w:r>
      <w:r w:rsidR="00D631CF">
        <w:t>and</w:t>
      </w:r>
      <w:r w:rsidR="004E18CD">
        <w:t xml:space="preserve"> to figure out the best </w:t>
      </w:r>
      <w:r w:rsidR="00D631CF">
        <w:t xml:space="preserve">operating </w:t>
      </w:r>
      <w:r w:rsidR="004E18CD">
        <w:t>condition</w:t>
      </w:r>
      <w:r w:rsidR="00D631CF">
        <w:t>s</w:t>
      </w:r>
      <w:r w:rsidR="004E18CD">
        <w:t xml:space="preserve"> for promoting the RD r</w:t>
      </w:r>
      <w:r w:rsidR="00D631CF">
        <w:t xml:space="preserve">eaction and minimize the anions reduction. </w:t>
      </w:r>
      <w:r w:rsidR="00A04FEA">
        <w:t xml:space="preserve">With the real contaminated groundwater, </w:t>
      </w:r>
      <w:r w:rsidR="00B30054">
        <w:t>the</w:t>
      </w:r>
      <w:r w:rsidR="00A81739">
        <w:t xml:space="preserve"> major issue</w:t>
      </w:r>
      <w:r w:rsidR="00B30054">
        <w:t xml:space="preserve"> was </w:t>
      </w:r>
      <w:r w:rsidR="00A81739">
        <w:t xml:space="preserve">the extremely low concentration of CAHs typical of an </w:t>
      </w:r>
      <w:proofErr w:type="gramStart"/>
      <w:r w:rsidR="00A81739">
        <w:t>aged contaminated</w:t>
      </w:r>
      <w:proofErr w:type="gramEnd"/>
      <w:r w:rsidR="00A81739">
        <w:t xml:space="preserve"> site and the simultaneous presence of PCE, TCE, </w:t>
      </w:r>
      <w:proofErr w:type="spellStart"/>
      <w:r w:rsidR="00A81739">
        <w:t>cDCE</w:t>
      </w:r>
      <w:proofErr w:type="spellEnd"/>
      <w:r w:rsidR="00A81739">
        <w:t xml:space="preserve"> and Vinyl Chloride. </w:t>
      </w:r>
      <w:r w:rsidR="00802407">
        <w:t>Otherwise,</w:t>
      </w:r>
      <w:r w:rsidR="00B30054">
        <w:t xml:space="preserve"> the reductive reactor showed the capability to fully convert the high chlorinated compound in a mixture of vinyl chloride principally and cis Dichloroethylene (</w:t>
      </w:r>
      <w:proofErr w:type="spellStart"/>
      <w:r w:rsidR="00B30054">
        <w:t>cDCE</w:t>
      </w:r>
      <w:proofErr w:type="spellEnd"/>
      <w:r w:rsidR="00B30054">
        <w:t>)</w:t>
      </w:r>
      <w:r w:rsidR="00D6550F">
        <w:t xml:space="preserve"> reaching </w:t>
      </w:r>
      <w:r w:rsidR="005C40B1">
        <w:t>a</w:t>
      </w:r>
      <w:r w:rsidR="00D6550F">
        <w:t xml:space="preserve"> higher mass recovery in respect of the previous periods analysed</w:t>
      </w:r>
      <w:r w:rsidR="00B30054">
        <w:t>.</w:t>
      </w:r>
      <w:r w:rsidR="00CD6932">
        <w:t xml:space="preserve"> </w:t>
      </w:r>
    </w:p>
    <w:p w14:paraId="088A134E" w14:textId="0CD6DA86" w:rsidR="00600535" w:rsidRPr="00B57B36" w:rsidRDefault="00FB2C86" w:rsidP="00FB2C86">
      <w:pPr>
        <w:pStyle w:val="CETListbullets"/>
        <w:ind w:left="0" w:firstLine="0"/>
        <w:jc w:val="center"/>
      </w:pPr>
      <w:r w:rsidRPr="00FB2C86">
        <w:rPr>
          <w:noProof/>
        </w:rPr>
        <w:lastRenderedPageBreak/>
        <w:drawing>
          <wp:inline distT="0" distB="0" distL="0" distR="0" wp14:anchorId="1BDEA451" wp14:editId="1EC34782">
            <wp:extent cx="3881604" cy="252412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7023" cy="2527649"/>
                    </a:xfrm>
                    <a:prstGeom prst="rect">
                      <a:avLst/>
                    </a:prstGeom>
                    <a:noFill/>
                    <a:ln>
                      <a:noFill/>
                    </a:ln>
                  </pic:spPr>
                </pic:pic>
              </a:graphicData>
            </a:graphic>
          </wp:inline>
        </w:drawing>
      </w:r>
    </w:p>
    <w:p w14:paraId="7382C781" w14:textId="5711B518" w:rsidR="00600535" w:rsidRPr="00B57B36" w:rsidRDefault="00600535" w:rsidP="00553B18">
      <w:pPr>
        <w:pStyle w:val="CETCaption"/>
      </w:pPr>
      <w:r w:rsidRPr="00BD077D">
        <w:rPr>
          <w:rStyle w:val="CETCaptionCarattere"/>
          <w:i/>
        </w:rPr>
        <w:t xml:space="preserve">Figure 1: </w:t>
      </w:r>
      <w:r w:rsidR="00677164">
        <w:rPr>
          <w:rStyle w:val="CETCaptionCarattere"/>
          <w:i/>
        </w:rPr>
        <w:t>RD by products distribution and mass recovery in the reductive reactor</w:t>
      </w:r>
    </w:p>
    <w:p w14:paraId="5F1EF684" w14:textId="20130785" w:rsidR="00D631CF" w:rsidRPr="00B57B36" w:rsidRDefault="00D631CF" w:rsidP="00D631CF">
      <w:pPr>
        <w:pStyle w:val="CETHeading1"/>
        <w:numPr>
          <w:ilvl w:val="0"/>
          <w:numId w:val="0"/>
        </w:numPr>
        <w:tabs>
          <w:tab w:val="right" w:pos="7100"/>
        </w:tabs>
        <w:jc w:val="both"/>
        <w:rPr>
          <w:lang w:val="en-GB"/>
        </w:rPr>
      </w:pPr>
      <w:r>
        <w:rPr>
          <w:lang w:val="en-GB"/>
        </w:rPr>
        <w:t>3.2 Reductive reaction comparison</w:t>
      </w:r>
    </w:p>
    <w:p w14:paraId="04EE1DB1" w14:textId="7295F88D" w:rsidR="00DA1659" w:rsidRDefault="00DA1659" w:rsidP="00DA1659">
      <w:pPr>
        <w:pStyle w:val="CETBodytext"/>
        <w:rPr>
          <w:lang w:val="en-GB"/>
        </w:rPr>
      </w:pPr>
      <w:r>
        <w:rPr>
          <w:lang w:val="en-GB"/>
        </w:rPr>
        <w:t>In fig</w:t>
      </w:r>
      <w:r w:rsidR="007E7879">
        <w:rPr>
          <w:lang w:val="en-GB"/>
        </w:rPr>
        <w:t>ure</w:t>
      </w:r>
      <w:r>
        <w:rPr>
          <w:lang w:val="en-GB"/>
        </w:rPr>
        <w:t xml:space="preserve"> 2 are reported the values for the PCE removal rate and for the RD reaction, as showed the PCE removal rate depends basically on the contaminant load (</w:t>
      </w:r>
      <w:r w:rsidR="00F10A4B">
        <w:rPr>
          <w:lang w:val="en-GB"/>
        </w:rPr>
        <w:t>which is the</w:t>
      </w:r>
      <w:r>
        <w:rPr>
          <w:lang w:val="en-GB"/>
        </w:rPr>
        <w:t xml:space="preserve"> reactor</w:t>
      </w:r>
      <w:r w:rsidR="00F10A4B">
        <w:rPr>
          <w:lang w:val="en-GB"/>
        </w:rPr>
        <w:t xml:space="preserve"> contaminant</w:t>
      </w:r>
      <w:r>
        <w:rPr>
          <w:lang w:val="en-GB"/>
        </w:rPr>
        <w:t xml:space="preserve"> incoming mass per day). On the contrary the RD reaction rate is strictl</w:t>
      </w:r>
      <w:r w:rsidR="001613C4">
        <w:rPr>
          <w:lang w:val="en-GB"/>
        </w:rPr>
        <w:t xml:space="preserve">y correlated with the concentration of </w:t>
      </w:r>
      <w:r w:rsidR="005A18F6">
        <w:rPr>
          <w:lang w:val="en-GB"/>
        </w:rPr>
        <w:t xml:space="preserve">the low chlorinated </w:t>
      </w:r>
      <w:r w:rsidR="001613C4">
        <w:rPr>
          <w:lang w:val="en-GB"/>
        </w:rPr>
        <w:t>RD backbone products</w:t>
      </w:r>
      <w:r w:rsidR="005A18F6">
        <w:rPr>
          <w:lang w:val="en-GB"/>
        </w:rPr>
        <w:t>.</w:t>
      </w:r>
      <w:r w:rsidR="001613C4">
        <w:rPr>
          <w:lang w:val="en-GB"/>
        </w:rPr>
        <w:t xml:space="preserve"> </w:t>
      </w:r>
      <w:r>
        <w:rPr>
          <w:lang w:val="en-GB"/>
        </w:rPr>
        <w:t xml:space="preserve">Indeed, even if in the real groundwater period only vinyl chloride were produced the RD reaction rate had an extremely low value due to the small inlet contaminant concentration. </w:t>
      </w:r>
      <w:r w:rsidR="009B7D16">
        <w:rPr>
          <w:lang w:val="en-GB"/>
        </w:rPr>
        <w:t>It i</w:t>
      </w:r>
      <w:r>
        <w:rPr>
          <w:lang w:val="en-GB"/>
        </w:rPr>
        <w:t>s interesting to compare these values with the rate of the reductive power competitive reaction reported in fig</w:t>
      </w:r>
      <w:r w:rsidR="005A18F6">
        <w:rPr>
          <w:lang w:val="en-GB"/>
        </w:rPr>
        <w:t>ure</w:t>
      </w:r>
      <w:r>
        <w:rPr>
          <w:lang w:val="en-GB"/>
        </w:rPr>
        <w:t xml:space="preserve"> 2. In the experimentations with mineral medium the only competitive reaction were methanogenesis and for this reason the RD reaction rate increase</w:t>
      </w:r>
      <w:r w:rsidR="006509B6">
        <w:rPr>
          <w:lang w:val="en-GB"/>
        </w:rPr>
        <w:t xml:space="preserve"> in the </w:t>
      </w:r>
      <w:proofErr w:type="gramStart"/>
      <w:r w:rsidR="006509B6">
        <w:rPr>
          <w:lang w:val="en-GB"/>
        </w:rPr>
        <w:t>-550 mV</w:t>
      </w:r>
      <w:proofErr w:type="gramEnd"/>
      <w:r w:rsidR="006509B6">
        <w:rPr>
          <w:lang w:val="en-GB"/>
        </w:rPr>
        <w:t xml:space="preserve"> vs SHE condition to 99</w:t>
      </w:r>
      <w:r w:rsidR="00682A74">
        <w:rPr>
          <w:lang w:val="en-GB"/>
        </w:rPr>
        <w:t xml:space="preserve"> </w:t>
      </w:r>
      <w:r w:rsidR="00682A74">
        <w:rPr>
          <w:rFonts w:cs="Arial"/>
          <w:lang w:val="en-GB"/>
        </w:rPr>
        <w:t>±</w:t>
      </w:r>
      <w:r w:rsidR="00682A74">
        <w:rPr>
          <w:lang w:val="en-GB"/>
        </w:rPr>
        <w:t xml:space="preserve"> </w:t>
      </w:r>
      <w:r w:rsidR="006509B6">
        <w:rPr>
          <w:lang w:val="en-GB"/>
        </w:rPr>
        <w:t>5</w:t>
      </w:r>
      <w:r w:rsidR="00682A74">
        <w:rPr>
          <w:lang w:val="en-GB"/>
        </w:rPr>
        <w:t xml:space="preserve"> </w:t>
      </w:r>
      <w:r w:rsidR="00682A74" w:rsidRPr="00682A74">
        <w:rPr>
          <w:lang w:val="en-GB"/>
        </w:rPr>
        <w:t>µ</w:t>
      </w:r>
      <w:proofErr w:type="spellStart"/>
      <w:r w:rsidR="00682A74" w:rsidRPr="00682A74">
        <w:rPr>
          <w:lang w:val="en-GB"/>
        </w:rPr>
        <w:t>eq</w:t>
      </w:r>
      <w:proofErr w:type="spellEnd"/>
      <w:r w:rsidR="00682A74">
        <w:rPr>
          <w:lang w:val="en-GB"/>
        </w:rPr>
        <w:t>/Ld</w:t>
      </w:r>
      <w:r w:rsidR="006509B6">
        <w:rPr>
          <w:lang w:val="en-GB"/>
        </w:rPr>
        <w:t>. W</w:t>
      </w:r>
      <w:r w:rsidR="00F10A4B">
        <w:rPr>
          <w:lang w:val="en-GB"/>
        </w:rPr>
        <w:t xml:space="preserve">ith the </w:t>
      </w:r>
      <w:r w:rsidR="00682A74">
        <w:rPr>
          <w:lang w:val="en-GB"/>
        </w:rPr>
        <w:t>synthetic</w:t>
      </w:r>
      <w:r w:rsidR="00F10A4B">
        <w:rPr>
          <w:lang w:val="en-GB"/>
        </w:rPr>
        <w:t xml:space="preserve"> groundwater </w:t>
      </w:r>
      <w:r w:rsidR="006509B6">
        <w:rPr>
          <w:lang w:val="en-GB"/>
        </w:rPr>
        <w:t>condition,</w:t>
      </w:r>
      <w:r w:rsidR="00F10A4B">
        <w:rPr>
          <w:rStyle w:val="Rimandocommento"/>
          <w:lang w:val="en-GB"/>
        </w:rPr>
        <w:t xml:space="preserve"> </w:t>
      </w:r>
      <w:r>
        <w:rPr>
          <w:lang w:val="en-GB"/>
        </w:rPr>
        <w:t>the RD reaction rate has comparable values both in the various HRT experimentation and the various reductive potential. In the real groundwater period incoming sulphate and nitrate concentrations are lower than in the previous experimental periods and this coupled with the small amount of CAHs promotes only methanogenesis.</w:t>
      </w:r>
    </w:p>
    <w:p w14:paraId="13199D03" w14:textId="58A93569" w:rsidR="001E2C40" w:rsidRDefault="001E2C40" w:rsidP="00600535">
      <w:pPr>
        <w:pStyle w:val="CETBodytext"/>
        <w:rPr>
          <w:lang w:val="en-GB"/>
        </w:rPr>
      </w:pPr>
    </w:p>
    <w:p w14:paraId="6E72D542" w14:textId="08721A00" w:rsidR="001E2C40" w:rsidRDefault="00FB2C86" w:rsidP="00FB2C86">
      <w:pPr>
        <w:pStyle w:val="CETBodytext"/>
        <w:jc w:val="center"/>
        <w:rPr>
          <w:lang w:val="en-GB"/>
        </w:rPr>
      </w:pPr>
      <w:r w:rsidRPr="00FB2C86">
        <w:rPr>
          <w:noProof/>
        </w:rPr>
        <w:drawing>
          <wp:inline distT="0" distB="0" distL="0" distR="0" wp14:anchorId="7DE55714" wp14:editId="250419F5">
            <wp:extent cx="4373595" cy="2857500"/>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2910" cy="2863586"/>
                    </a:xfrm>
                    <a:prstGeom prst="rect">
                      <a:avLst/>
                    </a:prstGeom>
                    <a:noFill/>
                    <a:ln>
                      <a:noFill/>
                    </a:ln>
                  </pic:spPr>
                </pic:pic>
              </a:graphicData>
            </a:graphic>
          </wp:inline>
        </w:drawing>
      </w:r>
    </w:p>
    <w:p w14:paraId="511A34F8" w14:textId="256D81D4" w:rsidR="00720954" w:rsidRDefault="00547556" w:rsidP="0017071A">
      <w:pPr>
        <w:pStyle w:val="CETCaption"/>
      </w:pPr>
      <w:r w:rsidRPr="00BD077D">
        <w:rPr>
          <w:rStyle w:val="CETCaptionCarattere"/>
          <w:i/>
        </w:rPr>
        <w:t xml:space="preserve">Figure </w:t>
      </w:r>
      <w:r>
        <w:rPr>
          <w:rStyle w:val="CETCaptionCarattere"/>
          <w:i/>
        </w:rPr>
        <w:t>2</w:t>
      </w:r>
      <w:r w:rsidRPr="00BD077D">
        <w:rPr>
          <w:rStyle w:val="CETCaptionCarattere"/>
          <w:i/>
        </w:rPr>
        <w:t>:</w:t>
      </w:r>
      <w:r>
        <w:rPr>
          <w:rStyle w:val="CETCaptionCarattere"/>
          <w:i/>
        </w:rPr>
        <w:t xml:space="preserve"> </w:t>
      </w:r>
      <w:r w:rsidR="006C3883">
        <w:rPr>
          <w:rStyle w:val="CETCaptionCarattere"/>
          <w:i/>
        </w:rPr>
        <w:t>Reductive mechanism</w:t>
      </w:r>
      <w:r w:rsidR="00A320EA">
        <w:rPr>
          <w:rStyle w:val="CETCaptionCarattere"/>
          <w:i/>
        </w:rPr>
        <w:t xml:space="preserve"> identified in the reductive reactor during the different operating condition explored </w:t>
      </w:r>
    </w:p>
    <w:p w14:paraId="3166E9AE" w14:textId="3C66BD32" w:rsidR="00720954" w:rsidRPr="00B57B36" w:rsidRDefault="00720954" w:rsidP="00720954">
      <w:pPr>
        <w:pStyle w:val="CETHeading1"/>
        <w:numPr>
          <w:ilvl w:val="0"/>
          <w:numId w:val="0"/>
        </w:numPr>
        <w:tabs>
          <w:tab w:val="right" w:pos="7100"/>
        </w:tabs>
        <w:jc w:val="both"/>
        <w:rPr>
          <w:lang w:val="en-GB"/>
        </w:rPr>
      </w:pPr>
      <w:r>
        <w:rPr>
          <w:lang w:val="en-GB"/>
        </w:rPr>
        <w:lastRenderedPageBreak/>
        <w:t>3.3 Coulombic Efficiency and Energ</w:t>
      </w:r>
      <w:r w:rsidR="00006FA5">
        <w:rPr>
          <w:lang w:val="en-GB"/>
        </w:rPr>
        <w:t>y</w:t>
      </w:r>
      <w:r>
        <w:rPr>
          <w:lang w:val="en-GB"/>
        </w:rPr>
        <w:t xml:space="preserve"> consumptions</w:t>
      </w:r>
    </w:p>
    <w:p w14:paraId="60D72ADB" w14:textId="449B00D2" w:rsidR="00433A98" w:rsidRDefault="005D7D0E" w:rsidP="00433A98">
      <w:pPr>
        <w:pStyle w:val="CETBodytext"/>
        <w:rPr>
          <w:lang w:val="en-GB"/>
        </w:rPr>
      </w:pPr>
      <w:r>
        <w:rPr>
          <w:lang w:val="en-GB"/>
        </w:rPr>
        <w:t>During the operation w</w:t>
      </w:r>
      <w:r w:rsidR="00433A98">
        <w:rPr>
          <w:lang w:val="en-GB"/>
        </w:rPr>
        <w:t xml:space="preserve">ith the mineral medium </w:t>
      </w:r>
      <w:r>
        <w:rPr>
          <w:lang w:val="en-GB"/>
        </w:rPr>
        <w:t xml:space="preserve">solution, </w:t>
      </w:r>
      <w:r w:rsidR="00433A98">
        <w:rPr>
          <w:lang w:val="en-GB"/>
        </w:rPr>
        <w:t xml:space="preserve">the RD </w:t>
      </w:r>
      <w:r w:rsidR="00F86B76">
        <w:rPr>
          <w:lang w:val="en-GB"/>
        </w:rPr>
        <w:t>reached the highest values in terms of coulombic efficiency.</w:t>
      </w:r>
      <w:r w:rsidR="00433A98">
        <w:rPr>
          <w:lang w:val="en-GB"/>
        </w:rPr>
        <w:t xml:space="preserve"> Is interesting to see that the </w:t>
      </w:r>
      <w:r w:rsidR="00720954">
        <w:rPr>
          <w:lang w:val="en-GB"/>
        </w:rPr>
        <w:t>unrecovered</w:t>
      </w:r>
      <w:r w:rsidR="00433A98">
        <w:rPr>
          <w:lang w:val="en-GB"/>
        </w:rPr>
        <w:t xml:space="preserve"> current was similar in the three different working electrode reductive potentials 73% for -450 mV vs SHE, 70% for the -350 mV and 74 % for the -550 mV. This is probably due to the configuration of the reactor, in fact the lack of an ion exchange membrane between the external working electron chamber and the internal counter electrode chamber allow to some species as molecular hydrogen or, in the real groundwater period, Fe</w:t>
      </w:r>
      <w:r w:rsidR="00433A98" w:rsidRPr="0017071A">
        <w:rPr>
          <w:vertAlign w:val="superscript"/>
          <w:lang w:val="en-GB"/>
        </w:rPr>
        <w:t>3+</w:t>
      </w:r>
      <w:r w:rsidR="00433A98">
        <w:rPr>
          <w:lang w:val="en-GB"/>
        </w:rPr>
        <w:t xml:space="preserve"> to reach the counter electrode and be oxidized generating an electrons loop that increase the flowing current and consequentially the lost current. With the introduction of the anions the </w:t>
      </w:r>
      <w:r w:rsidR="00F86B76">
        <w:rPr>
          <w:lang w:val="en-GB"/>
        </w:rPr>
        <w:t xml:space="preserve">flowing current is totally recovered </w:t>
      </w:r>
      <w:r w:rsidR="00433A98">
        <w:rPr>
          <w:lang w:val="en-GB"/>
        </w:rPr>
        <w:t>in the period with the 1.2 d HRT and the working electrode set to -450 mV vs SHE potential. The increasing of competitive reaction probably limited the hydrogen migration to the counterelectrode and consequentially the electron loops mention above. With real groundwater period the lost current return like mineral medium experimentation but the RD utilized a very small amount of current for the reason already reported.</w:t>
      </w:r>
    </w:p>
    <w:p w14:paraId="097B53C8" w14:textId="77777777" w:rsidR="0017071A" w:rsidRPr="00167AA0" w:rsidRDefault="0017071A" w:rsidP="00433A98">
      <w:pPr>
        <w:pStyle w:val="CETBodytext"/>
        <w:rPr>
          <w:lang w:val="en-GB"/>
        </w:rPr>
      </w:pPr>
    </w:p>
    <w:p w14:paraId="715C8314" w14:textId="561553DA" w:rsidR="00801646" w:rsidRPr="006C3883" w:rsidRDefault="00123EE8" w:rsidP="00123EE8">
      <w:pPr>
        <w:pStyle w:val="CETBodytext"/>
        <w:jc w:val="center"/>
      </w:pPr>
      <w:r w:rsidRPr="00123EE8">
        <w:rPr>
          <w:noProof/>
        </w:rPr>
        <w:drawing>
          <wp:inline distT="0" distB="0" distL="0" distR="0" wp14:anchorId="102A6E39" wp14:editId="0D9B99F2">
            <wp:extent cx="4065247" cy="2590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0420" cy="2600470"/>
                    </a:xfrm>
                    <a:prstGeom prst="rect">
                      <a:avLst/>
                    </a:prstGeom>
                    <a:noFill/>
                    <a:ln>
                      <a:noFill/>
                    </a:ln>
                  </pic:spPr>
                </pic:pic>
              </a:graphicData>
            </a:graphic>
          </wp:inline>
        </w:drawing>
      </w:r>
    </w:p>
    <w:p w14:paraId="0E7B20BA" w14:textId="457E4405" w:rsidR="00801646" w:rsidRDefault="00801646" w:rsidP="00A95CF0">
      <w:pPr>
        <w:pStyle w:val="CETCaption"/>
        <w:rPr>
          <w:rStyle w:val="CETCaptionCarattere"/>
          <w:i/>
        </w:rPr>
      </w:pPr>
      <w:r w:rsidRPr="00BD077D">
        <w:rPr>
          <w:rStyle w:val="CETCaptionCarattere"/>
          <w:i/>
        </w:rPr>
        <w:t xml:space="preserve">Figure </w:t>
      </w:r>
      <w:r>
        <w:rPr>
          <w:rStyle w:val="CETCaptionCarattere"/>
          <w:i/>
        </w:rPr>
        <w:t>3</w:t>
      </w:r>
      <w:r w:rsidRPr="00BD077D">
        <w:rPr>
          <w:rStyle w:val="CETCaptionCarattere"/>
          <w:i/>
        </w:rPr>
        <w:t>:</w:t>
      </w:r>
      <w:r>
        <w:rPr>
          <w:rStyle w:val="CETCaptionCarattere"/>
          <w:i/>
        </w:rPr>
        <w:t xml:space="preserve"> </w:t>
      </w:r>
      <w:r w:rsidR="00A95CF0">
        <w:rPr>
          <w:rStyle w:val="CETCaptionCarattere"/>
          <w:i/>
        </w:rPr>
        <w:t xml:space="preserve">Coulombic efficiencies for the various reaction and </w:t>
      </w:r>
      <w:r w:rsidR="00EA3678">
        <w:rPr>
          <w:rStyle w:val="CETCaptionCarattere"/>
          <w:i/>
        </w:rPr>
        <w:t>unrecovered</w:t>
      </w:r>
      <w:r w:rsidR="00A95CF0">
        <w:rPr>
          <w:rStyle w:val="CETCaptionCarattere"/>
          <w:i/>
        </w:rPr>
        <w:t xml:space="preserve"> current in the different explored period</w:t>
      </w:r>
    </w:p>
    <w:p w14:paraId="5920DB60" w14:textId="7BEC92BE" w:rsidR="00EA3678" w:rsidRDefault="00E653DE" w:rsidP="00E653DE">
      <w:pPr>
        <w:pStyle w:val="CETCaption"/>
        <w:jc w:val="center"/>
      </w:pPr>
      <w:r w:rsidRPr="00E653DE">
        <w:rPr>
          <w:noProof/>
        </w:rPr>
        <w:drawing>
          <wp:inline distT="0" distB="0" distL="0" distR="0" wp14:anchorId="2B222C7E" wp14:editId="4D288ACB">
            <wp:extent cx="4258716" cy="2771775"/>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2425" cy="2780698"/>
                    </a:xfrm>
                    <a:prstGeom prst="rect">
                      <a:avLst/>
                    </a:prstGeom>
                    <a:noFill/>
                    <a:ln>
                      <a:noFill/>
                    </a:ln>
                  </pic:spPr>
                </pic:pic>
              </a:graphicData>
            </a:graphic>
          </wp:inline>
        </w:drawing>
      </w:r>
    </w:p>
    <w:p w14:paraId="7FEB6125" w14:textId="056731E3" w:rsidR="00EA3678" w:rsidRDefault="00EA3678" w:rsidP="00A95CF0">
      <w:pPr>
        <w:pStyle w:val="CETCaption"/>
      </w:pPr>
      <w:r w:rsidRPr="00BD077D">
        <w:rPr>
          <w:rStyle w:val="CETCaptionCarattere"/>
          <w:i/>
        </w:rPr>
        <w:t xml:space="preserve">Figure </w:t>
      </w:r>
      <w:r>
        <w:rPr>
          <w:rStyle w:val="CETCaptionCarattere"/>
          <w:i/>
        </w:rPr>
        <w:t>4</w:t>
      </w:r>
      <w:r w:rsidRPr="00BD077D">
        <w:rPr>
          <w:rStyle w:val="CETCaptionCarattere"/>
          <w:i/>
        </w:rPr>
        <w:t>:</w:t>
      </w:r>
      <w:r>
        <w:rPr>
          <w:rStyle w:val="CETCaptionCarattere"/>
          <w:i/>
        </w:rPr>
        <w:t xml:space="preserve"> Energetic costs for the process in the different explored period</w:t>
      </w:r>
    </w:p>
    <w:p w14:paraId="03B4B73C" w14:textId="0669FF8B" w:rsidR="00EA3678" w:rsidRPr="00970DDD" w:rsidRDefault="00970DDD" w:rsidP="00A95CF0">
      <w:pPr>
        <w:pStyle w:val="CETCaption"/>
        <w:rPr>
          <w:i w:val="0"/>
        </w:rPr>
      </w:pPr>
      <w:r w:rsidRPr="00970DDD">
        <w:rPr>
          <w:i w:val="0"/>
        </w:rPr>
        <w:lastRenderedPageBreak/>
        <w:t xml:space="preserve">The </w:t>
      </w:r>
      <w:r>
        <w:rPr>
          <w:i w:val="0"/>
        </w:rPr>
        <w:t xml:space="preserve">energetic cost for the reductive reactor </w:t>
      </w:r>
      <w:r w:rsidR="008838D7">
        <w:rPr>
          <w:i w:val="0"/>
        </w:rPr>
        <w:t xml:space="preserve">depends by </w:t>
      </w:r>
      <w:r w:rsidR="00D56A6E">
        <w:rPr>
          <w:i w:val="0"/>
        </w:rPr>
        <w:t>the</w:t>
      </w:r>
      <w:r>
        <w:rPr>
          <w:i w:val="0"/>
        </w:rPr>
        <w:t xml:space="preserve"> flowing current</w:t>
      </w:r>
      <w:r w:rsidR="008838D7">
        <w:rPr>
          <w:i w:val="0"/>
        </w:rPr>
        <w:t xml:space="preserve"> and the cell voltage</w:t>
      </w:r>
      <w:r>
        <w:rPr>
          <w:i w:val="0"/>
        </w:rPr>
        <w:t xml:space="preserve"> </w:t>
      </w:r>
      <w:r w:rsidR="008838D7">
        <w:rPr>
          <w:i w:val="0"/>
        </w:rPr>
        <w:t xml:space="preserve">applied to the </w:t>
      </w:r>
      <w:r>
        <w:rPr>
          <w:i w:val="0"/>
        </w:rPr>
        <w:t xml:space="preserve">bioelectrochemical </w:t>
      </w:r>
      <w:r w:rsidR="008838D7">
        <w:rPr>
          <w:i w:val="0"/>
        </w:rPr>
        <w:t>reactor</w:t>
      </w:r>
      <w:r w:rsidR="002F225B">
        <w:rPr>
          <w:i w:val="0"/>
        </w:rPr>
        <w:t>. T</w:t>
      </w:r>
      <w:r>
        <w:rPr>
          <w:i w:val="0"/>
        </w:rPr>
        <w:t xml:space="preserve">he </w:t>
      </w:r>
      <w:r w:rsidR="008838D7">
        <w:rPr>
          <w:i w:val="0"/>
        </w:rPr>
        <w:t>energy consumption expressed as kWh/m</w:t>
      </w:r>
      <w:r w:rsidR="008838D7" w:rsidRPr="00255865">
        <w:rPr>
          <w:i w:val="0"/>
          <w:vertAlign w:val="superscript"/>
        </w:rPr>
        <w:t>3</w:t>
      </w:r>
      <w:r w:rsidR="008838D7">
        <w:rPr>
          <w:i w:val="0"/>
        </w:rPr>
        <w:t xml:space="preserve"> of treated</w:t>
      </w:r>
      <w:r>
        <w:rPr>
          <w:i w:val="0"/>
        </w:rPr>
        <w:t xml:space="preserve"> water</w:t>
      </w:r>
      <w:r w:rsidR="008838D7">
        <w:rPr>
          <w:i w:val="0"/>
        </w:rPr>
        <w:t xml:space="preserve"> resulted influenced by the applied cathodic potential during the operation of the reactor with mineral medium solution, </w:t>
      </w:r>
      <w:proofErr w:type="gramStart"/>
      <w:r w:rsidR="008838D7">
        <w:rPr>
          <w:i w:val="0"/>
        </w:rPr>
        <w:t>i.e.</w:t>
      </w:r>
      <w:proofErr w:type="gramEnd"/>
      <w:r w:rsidR="008838D7">
        <w:rPr>
          <w:i w:val="0"/>
        </w:rPr>
        <w:t xml:space="preserve"> a more reductive potential promote a higher energy consumption of the process</w:t>
      </w:r>
      <w:r>
        <w:rPr>
          <w:i w:val="0"/>
        </w:rPr>
        <w:t xml:space="preserve">. The utilization of synthetic groundwater increased remarkably the energetic cost probably due to the lower conductivity of the feeding solution </w:t>
      </w:r>
      <w:r w:rsidR="005504D7">
        <w:rPr>
          <w:i w:val="0"/>
        </w:rPr>
        <w:t>and</w:t>
      </w:r>
      <w:r>
        <w:rPr>
          <w:i w:val="0"/>
        </w:rPr>
        <w:t xml:space="preserve"> for the large amount of flowing current caused by the sulphate and nitrate reduction</w:t>
      </w:r>
      <w:r w:rsidR="00F9458B">
        <w:rPr>
          <w:i w:val="0"/>
        </w:rPr>
        <w:t xml:space="preserve"> as shown in figure 4</w:t>
      </w:r>
      <w:r>
        <w:rPr>
          <w:i w:val="0"/>
        </w:rPr>
        <w:t>.</w:t>
      </w:r>
      <w:r w:rsidR="0061392F">
        <w:rPr>
          <w:i w:val="0"/>
        </w:rPr>
        <w:t xml:space="preserve"> The sulphate and nitrate reduction driven the current generation and or this reason the condition with the massive </w:t>
      </w:r>
      <w:r w:rsidR="00656D77">
        <w:rPr>
          <w:i w:val="0"/>
        </w:rPr>
        <w:t>anion’s</w:t>
      </w:r>
      <w:r w:rsidR="0061392F">
        <w:rPr>
          <w:i w:val="0"/>
        </w:rPr>
        <w:t xml:space="preserve"> reduction had</w:t>
      </w:r>
      <w:r w:rsidR="005B4574">
        <w:rPr>
          <w:i w:val="0"/>
        </w:rPr>
        <w:t xml:space="preserve"> double </w:t>
      </w:r>
      <w:r w:rsidR="0061392F">
        <w:rPr>
          <w:i w:val="0"/>
        </w:rPr>
        <w:t>energetic c</w:t>
      </w:r>
      <w:r w:rsidR="005B4574">
        <w:rPr>
          <w:i w:val="0"/>
        </w:rPr>
        <w:t>onsumption and reach the maximum of 3.62 kWh/m</w:t>
      </w:r>
      <w:r w:rsidR="005B4574" w:rsidRPr="005B4574">
        <w:rPr>
          <w:i w:val="0"/>
          <w:vertAlign w:val="superscript"/>
        </w:rPr>
        <w:t>3</w:t>
      </w:r>
      <w:r w:rsidR="005504D7">
        <w:rPr>
          <w:i w:val="0"/>
        </w:rPr>
        <w:t xml:space="preserve"> </w:t>
      </w:r>
      <w:r w:rsidR="005B4574">
        <w:rPr>
          <w:i w:val="0"/>
        </w:rPr>
        <w:t xml:space="preserve">in the </w:t>
      </w:r>
      <w:proofErr w:type="gramStart"/>
      <w:r w:rsidR="005B4574">
        <w:rPr>
          <w:i w:val="0"/>
        </w:rPr>
        <w:t>-650 mV</w:t>
      </w:r>
      <w:proofErr w:type="gramEnd"/>
      <w:r w:rsidR="005B4574">
        <w:rPr>
          <w:i w:val="0"/>
        </w:rPr>
        <w:t xml:space="preserve"> vs SHE condition. </w:t>
      </w:r>
      <w:r w:rsidR="005504D7">
        <w:rPr>
          <w:i w:val="0"/>
        </w:rPr>
        <w:t>The real groundwater instead gives promising results</w:t>
      </w:r>
      <w:r w:rsidR="00DA307A">
        <w:rPr>
          <w:i w:val="0"/>
        </w:rPr>
        <w:t>,</w:t>
      </w:r>
      <w:r w:rsidR="008838D7">
        <w:rPr>
          <w:i w:val="0"/>
        </w:rPr>
        <w:t xml:space="preserve"> i.e.,</w:t>
      </w:r>
      <w:r w:rsidR="00DA307A">
        <w:rPr>
          <w:i w:val="0"/>
        </w:rPr>
        <w:t xml:space="preserve"> the energetic consumptions</w:t>
      </w:r>
      <w:r w:rsidR="005812B0">
        <w:rPr>
          <w:i w:val="0"/>
        </w:rPr>
        <w:t xml:space="preserve"> turn out to be acceptable</w:t>
      </w:r>
      <w:r w:rsidR="005504D7">
        <w:rPr>
          <w:i w:val="0"/>
        </w:rPr>
        <w:t xml:space="preserve"> due to the small </w:t>
      </w:r>
      <w:r w:rsidR="0061392F">
        <w:rPr>
          <w:i w:val="0"/>
        </w:rPr>
        <w:t>concentrations</w:t>
      </w:r>
      <w:r w:rsidR="005504D7">
        <w:rPr>
          <w:i w:val="0"/>
        </w:rPr>
        <w:t xml:space="preserve"> of anions in the matrix</w:t>
      </w:r>
      <w:r w:rsidR="00F9458B">
        <w:rPr>
          <w:i w:val="0"/>
        </w:rPr>
        <w:t xml:space="preserve"> and </w:t>
      </w:r>
      <w:r w:rsidR="002D6A8C">
        <w:rPr>
          <w:i w:val="0"/>
        </w:rPr>
        <w:t>the presence of nutrients typical of real matrices</w:t>
      </w:r>
      <w:r w:rsidR="005B4574">
        <w:rPr>
          <w:i w:val="0"/>
        </w:rPr>
        <w:t xml:space="preserve"> and comparable to other technologies</w:t>
      </w:r>
      <w:r w:rsidR="0061392F">
        <w:rPr>
          <w:i w:val="0"/>
        </w:rPr>
        <w:t>.</w:t>
      </w:r>
      <w:r w:rsidR="00E16D83">
        <w:rPr>
          <w:i w:val="0"/>
        </w:rPr>
        <w:t xml:space="preserve"> </w:t>
      </w:r>
    </w:p>
    <w:p w14:paraId="68D26B83" w14:textId="77777777" w:rsidR="00600535" w:rsidRPr="00B57B36" w:rsidRDefault="00600535" w:rsidP="00600535">
      <w:pPr>
        <w:pStyle w:val="CETHeading1"/>
        <w:rPr>
          <w:lang w:val="en-GB"/>
        </w:rPr>
      </w:pPr>
      <w:r w:rsidRPr="00B57B36">
        <w:rPr>
          <w:lang w:val="en-GB"/>
        </w:rPr>
        <w:t>Conclusions</w:t>
      </w:r>
    </w:p>
    <w:p w14:paraId="52DAFDE0" w14:textId="5C416A56" w:rsidR="001D0CFB" w:rsidRDefault="00A95CF0" w:rsidP="00A95CF0">
      <w:pPr>
        <w:pStyle w:val="CETBodytext"/>
        <w:rPr>
          <w:lang w:val="en-GB"/>
        </w:rPr>
      </w:pPr>
      <w:r>
        <w:rPr>
          <w:lang w:val="en-GB"/>
        </w:rPr>
        <w:t xml:space="preserve">The reductive reactor allows </w:t>
      </w:r>
      <w:r w:rsidR="000D3F5F">
        <w:rPr>
          <w:lang w:val="en-GB"/>
        </w:rPr>
        <w:t xml:space="preserve">for the stimulation of the reductive dechlorination reaction of perchloroethylene and the other high chlorinated hydrocarbons, </w:t>
      </w:r>
      <w:r w:rsidR="00656D77">
        <w:rPr>
          <w:lang w:val="en-GB"/>
        </w:rPr>
        <w:t xml:space="preserve">among the different explored operating condition, </w:t>
      </w:r>
      <w:r w:rsidR="000D3F5F">
        <w:rPr>
          <w:lang w:val="en-GB"/>
        </w:rPr>
        <w:t xml:space="preserve">the dechlorination rate </w:t>
      </w:r>
      <w:r w:rsidR="00686FD0">
        <w:rPr>
          <w:lang w:val="en-GB"/>
        </w:rPr>
        <w:t xml:space="preserve">was influenced by the feeding solution composition, the adopted hydraulic retention </w:t>
      </w:r>
      <w:r w:rsidR="00656D77">
        <w:rPr>
          <w:lang w:val="en-GB"/>
        </w:rPr>
        <w:t>time,</w:t>
      </w:r>
      <w:r w:rsidR="00686FD0">
        <w:rPr>
          <w:lang w:val="en-GB"/>
        </w:rPr>
        <w:t xml:space="preserve"> and the applied cathodic potential</w:t>
      </w:r>
      <w:r w:rsidR="008838D7">
        <w:rPr>
          <w:lang w:val="en-GB"/>
        </w:rPr>
        <w:t>.</w:t>
      </w:r>
      <w:r w:rsidR="00CD22CA">
        <w:rPr>
          <w:lang w:val="en-GB"/>
        </w:rPr>
        <w:t xml:space="preserve"> </w:t>
      </w:r>
      <w:r w:rsidR="00656D77">
        <w:rPr>
          <w:lang w:val="en-GB"/>
        </w:rPr>
        <w:t xml:space="preserve">Reductive dechlorination rate and the consequent coulombic efficiency was influenced by the presence of side reductive reactions like nitrate and sulphate reduction. Energy consumption, as electric power, was mainly related to the operating conditions that stimulates side reactions with a consequent current increase. The analysis of the different operating conditions conducted in the presented study allowed for </w:t>
      </w:r>
      <w:r w:rsidR="00255865">
        <w:rPr>
          <w:lang w:val="en-GB"/>
        </w:rPr>
        <w:t>the bioelectrochemical technology validation, giving a comprehensive view of the dechlorination rate of the contaminants in presence of different side reactions</w:t>
      </w:r>
      <w:r w:rsidR="00573AF5">
        <w:rPr>
          <w:lang w:val="en-GB"/>
        </w:rPr>
        <w:t>. Future developments will aim to the test the system on field to prove the applicability in real remediation intervention</w:t>
      </w:r>
    </w:p>
    <w:p w14:paraId="07A6D20F" w14:textId="0ECF229E" w:rsidR="00280FAF" w:rsidRPr="00280FAF" w:rsidRDefault="00280FAF" w:rsidP="00280FAF">
      <w:pPr>
        <w:pStyle w:val="CETHeadingxx"/>
        <w:rPr>
          <w:lang w:val="en-GB"/>
        </w:rPr>
        <w:sectPr w:rsidR="00280FAF"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25D52BD8" w14:textId="43C23576" w:rsidR="00280FAF" w:rsidRPr="00255865" w:rsidRDefault="00A95CF0" w:rsidP="00280FAF">
      <w:pPr>
        <w:pStyle w:val="CETBodytext"/>
        <w:jc w:val="left"/>
        <w:rPr>
          <w:rFonts w:eastAsia="SimSun"/>
          <w:sz w:val="14"/>
          <w:szCs w:val="14"/>
        </w:rPr>
      </w:pPr>
      <w:r w:rsidRPr="00255865">
        <w:rPr>
          <w:rFonts w:eastAsia="SimSun"/>
          <w:sz w:val="14"/>
          <w:szCs w:val="14"/>
        </w:rPr>
        <w:t>PCE</w:t>
      </w:r>
      <w:r w:rsidR="00280FAF" w:rsidRPr="00255865">
        <w:rPr>
          <w:rFonts w:eastAsia="SimSun"/>
          <w:sz w:val="14"/>
          <w:szCs w:val="14"/>
        </w:rPr>
        <w:t xml:space="preserve"> – </w:t>
      </w:r>
      <w:r w:rsidR="007A62A8" w:rsidRPr="00255865">
        <w:rPr>
          <w:rFonts w:eastAsia="SimSun"/>
          <w:sz w:val="14"/>
          <w:szCs w:val="14"/>
        </w:rPr>
        <w:t>Perchloroethylene</w:t>
      </w:r>
    </w:p>
    <w:p w14:paraId="7DFFBF41" w14:textId="77777777" w:rsidR="00280FAF" w:rsidRPr="00255865" w:rsidRDefault="00280FAF" w:rsidP="00280FAF">
      <w:pPr>
        <w:pStyle w:val="CETBodytext"/>
        <w:jc w:val="left"/>
        <w:rPr>
          <w:rFonts w:eastAsia="SimSun"/>
          <w:sz w:val="14"/>
          <w:szCs w:val="14"/>
        </w:rPr>
        <w:sectPr w:rsidR="00280FAF" w:rsidRPr="00255865" w:rsidSect="0077098D">
          <w:type w:val="continuous"/>
          <w:pgSz w:w="11906" w:h="16838" w:code="9"/>
          <w:pgMar w:top="1701" w:right="1418" w:bottom="1701" w:left="1701" w:header="1701" w:footer="0" w:gutter="0"/>
          <w:cols w:space="708"/>
          <w:formProt w:val="0"/>
          <w:titlePg/>
          <w:docGrid w:linePitch="360"/>
        </w:sectPr>
      </w:pPr>
    </w:p>
    <w:p w14:paraId="57590CE2" w14:textId="69EA467B" w:rsidR="00280FAF" w:rsidRPr="00255865" w:rsidRDefault="00A95CF0" w:rsidP="00280FAF">
      <w:pPr>
        <w:pStyle w:val="CETBodytext"/>
        <w:jc w:val="left"/>
        <w:rPr>
          <w:rFonts w:eastAsia="SimSun"/>
          <w:sz w:val="14"/>
          <w:szCs w:val="14"/>
          <w:lang w:val="en-GB"/>
        </w:rPr>
      </w:pPr>
      <w:r w:rsidRPr="00255865">
        <w:rPr>
          <w:rFonts w:eastAsia="SimSun"/>
          <w:sz w:val="14"/>
          <w:szCs w:val="14"/>
          <w:lang w:val="en-GB"/>
        </w:rPr>
        <w:t>TCE</w:t>
      </w:r>
      <w:r w:rsidR="007A62A8" w:rsidRPr="00255865">
        <w:rPr>
          <w:rFonts w:eastAsia="SimSun"/>
          <w:sz w:val="14"/>
          <w:szCs w:val="14"/>
          <w:lang w:val="en-GB"/>
        </w:rPr>
        <w:t xml:space="preserve"> </w:t>
      </w:r>
      <w:r w:rsidR="00280FAF" w:rsidRPr="00255865">
        <w:rPr>
          <w:rFonts w:eastAsia="SimSun"/>
          <w:sz w:val="14"/>
          <w:szCs w:val="14"/>
          <w:lang w:val="en-GB"/>
        </w:rPr>
        <w:t xml:space="preserve">– </w:t>
      </w:r>
      <w:r w:rsidR="007A62A8" w:rsidRPr="00255865">
        <w:rPr>
          <w:rFonts w:eastAsia="SimSun"/>
          <w:sz w:val="14"/>
          <w:szCs w:val="14"/>
          <w:lang w:val="en-GB"/>
        </w:rPr>
        <w:t>Trichloroethylene</w:t>
      </w:r>
    </w:p>
    <w:p w14:paraId="0E502614" w14:textId="424CBAAA" w:rsidR="00280FAF" w:rsidRPr="00255865" w:rsidRDefault="00A95CF0" w:rsidP="00280FAF">
      <w:pPr>
        <w:pStyle w:val="CETBodytext"/>
        <w:jc w:val="left"/>
        <w:rPr>
          <w:rFonts w:eastAsia="SimSun"/>
          <w:sz w:val="14"/>
          <w:szCs w:val="14"/>
          <w:lang w:val="en-GB"/>
        </w:rPr>
      </w:pPr>
      <w:proofErr w:type="spellStart"/>
      <w:r w:rsidRPr="00255865">
        <w:rPr>
          <w:rFonts w:eastAsia="SimSun"/>
          <w:sz w:val="14"/>
          <w:szCs w:val="14"/>
          <w:lang w:val="en-GB"/>
        </w:rPr>
        <w:t>cDCE</w:t>
      </w:r>
      <w:proofErr w:type="spellEnd"/>
      <w:r w:rsidR="007A62A8" w:rsidRPr="00255865">
        <w:rPr>
          <w:rFonts w:eastAsia="SimSun"/>
          <w:sz w:val="14"/>
          <w:szCs w:val="14"/>
          <w:lang w:val="en-GB"/>
        </w:rPr>
        <w:t xml:space="preserve"> </w:t>
      </w:r>
      <w:r w:rsidR="00280FAF" w:rsidRPr="00255865">
        <w:rPr>
          <w:rFonts w:eastAsia="SimSun"/>
          <w:sz w:val="14"/>
          <w:szCs w:val="14"/>
          <w:lang w:val="en-GB"/>
        </w:rPr>
        <w:t xml:space="preserve">– </w:t>
      </w:r>
      <w:r w:rsidR="007A62A8" w:rsidRPr="00255865">
        <w:rPr>
          <w:rFonts w:eastAsia="SimSun"/>
          <w:sz w:val="14"/>
          <w:szCs w:val="14"/>
          <w:lang w:val="en-GB"/>
        </w:rPr>
        <w:t>cis - Dichloroethylene</w:t>
      </w:r>
    </w:p>
    <w:p w14:paraId="33D176ED" w14:textId="0B2940EF" w:rsidR="00280FAF" w:rsidRPr="00255865" w:rsidRDefault="007A62A8" w:rsidP="00280FAF">
      <w:pPr>
        <w:pStyle w:val="CETBodytext"/>
        <w:jc w:val="left"/>
        <w:rPr>
          <w:rFonts w:eastAsia="SimSun"/>
          <w:sz w:val="14"/>
          <w:szCs w:val="14"/>
          <w:lang w:val="en-GB"/>
        </w:rPr>
      </w:pPr>
      <w:r w:rsidRPr="00255865">
        <w:rPr>
          <w:rFonts w:eastAsia="SimSun"/>
          <w:sz w:val="14"/>
          <w:szCs w:val="14"/>
          <w:lang w:val="en-GB"/>
        </w:rPr>
        <w:t xml:space="preserve">VC </w:t>
      </w:r>
      <w:r w:rsidR="00280FAF" w:rsidRPr="00255865">
        <w:rPr>
          <w:rFonts w:eastAsia="SimSun"/>
          <w:sz w:val="14"/>
          <w:szCs w:val="14"/>
          <w:lang w:val="en-GB"/>
        </w:rPr>
        <w:t xml:space="preserve">– </w:t>
      </w:r>
      <w:r w:rsidRPr="00255865">
        <w:rPr>
          <w:rFonts w:eastAsia="SimSun"/>
          <w:sz w:val="14"/>
          <w:szCs w:val="14"/>
          <w:lang w:val="en-GB"/>
        </w:rPr>
        <w:t>Vinyl Chloride</w:t>
      </w:r>
    </w:p>
    <w:p w14:paraId="05CC3BA4" w14:textId="38E1888F" w:rsidR="00280FAF" w:rsidRPr="00255865" w:rsidRDefault="007A62A8" w:rsidP="00280FAF">
      <w:pPr>
        <w:pStyle w:val="CETBodytext"/>
        <w:jc w:val="left"/>
        <w:rPr>
          <w:rFonts w:eastAsia="SimSun"/>
          <w:sz w:val="14"/>
          <w:szCs w:val="14"/>
          <w:lang w:val="en-GB"/>
        </w:rPr>
      </w:pPr>
      <w:r w:rsidRPr="00255865">
        <w:rPr>
          <w:rFonts w:eastAsia="SimSun"/>
          <w:sz w:val="14"/>
          <w:szCs w:val="14"/>
          <w:lang w:val="en-GB"/>
        </w:rPr>
        <w:t>Eth</w:t>
      </w:r>
      <w:r w:rsidR="00280FAF" w:rsidRPr="00255865">
        <w:rPr>
          <w:rFonts w:eastAsia="SimSun"/>
          <w:sz w:val="14"/>
          <w:szCs w:val="14"/>
          <w:lang w:val="en-GB"/>
        </w:rPr>
        <w:t xml:space="preserve"> – </w:t>
      </w:r>
      <w:r w:rsidRPr="00255865">
        <w:rPr>
          <w:rFonts w:eastAsia="SimSun"/>
          <w:sz w:val="14"/>
          <w:szCs w:val="14"/>
          <w:lang w:val="en-GB"/>
        </w:rPr>
        <w:t>Ethylene</w:t>
      </w:r>
    </w:p>
    <w:p w14:paraId="0718B861" w14:textId="6CB22B1C" w:rsidR="00280FAF" w:rsidRPr="00255865" w:rsidRDefault="007A62A8" w:rsidP="00280FAF">
      <w:pPr>
        <w:pStyle w:val="CETBodytext"/>
        <w:jc w:val="left"/>
        <w:rPr>
          <w:rFonts w:eastAsia="SimSun"/>
          <w:sz w:val="14"/>
          <w:szCs w:val="14"/>
          <w:lang w:val="en-GB"/>
        </w:rPr>
      </w:pPr>
      <w:r w:rsidRPr="00255865">
        <w:rPr>
          <w:rFonts w:eastAsia="SimSun"/>
          <w:sz w:val="14"/>
          <w:szCs w:val="14"/>
          <w:lang w:val="en-GB"/>
        </w:rPr>
        <w:t>Eta</w:t>
      </w:r>
      <w:r w:rsidR="00280FAF" w:rsidRPr="00255865">
        <w:rPr>
          <w:rFonts w:eastAsia="SimSun"/>
          <w:sz w:val="14"/>
          <w:szCs w:val="14"/>
          <w:lang w:val="en-GB"/>
        </w:rPr>
        <w:t xml:space="preserve"> – </w:t>
      </w:r>
      <w:r w:rsidRPr="00255865">
        <w:rPr>
          <w:rFonts w:eastAsia="SimSun"/>
          <w:sz w:val="14"/>
          <w:szCs w:val="14"/>
          <w:lang w:val="en-GB"/>
        </w:rPr>
        <w:t>Ethane</w:t>
      </w:r>
    </w:p>
    <w:p w14:paraId="5A6624BF" w14:textId="38AB7D60" w:rsidR="00280FAF" w:rsidRPr="00255865" w:rsidRDefault="007A62A8" w:rsidP="00280FAF">
      <w:pPr>
        <w:pStyle w:val="CETBodytext"/>
        <w:jc w:val="left"/>
        <w:rPr>
          <w:rFonts w:eastAsia="SimSun"/>
          <w:sz w:val="14"/>
          <w:szCs w:val="14"/>
        </w:rPr>
      </w:pPr>
      <w:r w:rsidRPr="00255865">
        <w:rPr>
          <w:rFonts w:eastAsia="SimSun"/>
          <w:sz w:val="14"/>
          <w:szCs w:val="14"/>
        </w:rPr>
        <w:t>HRT</w:t>
      </w:r>
      <w:r w:rsidR="00280FAF" w:rsidRPr="00255865">
        <w:rPr>
          <w:rFonts w:eastAsia="SimSun"/>
          <w:sz w:val="14"/>
          <w:szCs w:val="14"/>
        </w:rPr>
        <w:t xml:space="preserve"> – </w:t>
      </w:r>
      <w:r w:rsidRPr="00255865">
        <w:rPr>
          <w:rFonts w:eastAsia="SimSun"/>
          <w:sz w:val="14"/>
          <w:szCs w:val="14"/>
        </w:rPr>
        <w:t>Hydraulic Retention Time</w:t>
      </w:r>
    </w:p>
    <w:p w14:paraId="1B9CA67B" w14:textId="5C85C5A3" w:rsidR="00280FAF" w:rsidRPr="00255865" w:rsidRDefault="007A62A8" w:rsidP="00280FAF">
      <w:pPr>
        <w:pStyle w:val="CETBodytext"/>
        <w:jc w:val="left"/>
        <w:rPr>
          <w:rFonts w:eastAsia="SimSun"/>
          <w:sz w:val="14"/>
          <w:szCs w:val="14"/>
        </w:rPr>
      </w:pPr>
      <w:r w:rsidRPr="00255865">
        <w:rPr>
          <w:rFonts w:eastAsia="SimSun"/>
          <w:sz w:val="14"/>
          <w:szCs w:val="14"/>
        </w:rPr>
        <w:t>RD</w:t>
      </w:r>
      <w:r w:rsidR="00280FAF" w:rsidRPr="00255865">
        <w:rPr>
          <w:rFonts w:eastAsia="SimSun"/>
          <w:sz w:val="14"/>
          <w:szCs w:val="14"/>
        </w:rPr>
        <w:t xml:space="preserve"> – </w:t>
      </w:r>
      <w:r w:rsidRPr="00255865">
        <w:rPr>
          <w:rFonts w:eastAsia="SimSun"/>
          <w:sz w:val="14"/>
          <w:szCs w:val="14"/>
        </w:rPr>
        <w:t>Reductive Dechlorination</w:t>
      </w:r>
    </w:p>
    <w:p w14:paraId="63AB7028" w14:textId="10B4A901" w:rsidR="00280FAF" w:rsidRPr="00255865" w:rsidRDefault="007A62A8" w:rsidP="00280FAF">
      <w:pPr>
        <w:pStyle w:val="CETBodytext"/>
        <w:jc w:val="left"/>
        <w:rPr>
          <w:rFonts w:eastAsia="SimSun"/>
          <w:sz w:val="14"/>
          <w:szCs w:val="14"/>
        </w:rPr>
      </w:pPr>
      <w:r w:rsidRPr="00255865">
        <w:rPr>
          <w:rFonts w:eastAsia="SimSun"/>
          <w:sz w:val="14"/>
          <w:szCs w:val="14"/>
        </w:rPr>
        <w:t>SHE</w:t>
      </w:r>
      <w:r w:rsidR="00280FAF" w:rsidRPr="00255865">
        <w:rPr>
          <w:rFonts w:eastAsia="SimSun"/>
          <w:sz w:val="14"/>
          <w:szCs w:val="14"/>
        </w:rPr>
        <w:t xml:space="preserve"> – </w:t>
      </w:r>
      <w:r w:rsidRPr="00255865">
        <w:rPr>
          <w:rFonts w:eastAsia="SimSun"/>
          <w:sz w:val="14"/>
          <w:szCs w:val="14"/>
        </w:rPr>
        <w:t>Standard Hydrogen Electrode</w:t>
      </w:r>
    </w:p>
    <w:p w14:paraId="42FAA691" w14:textId="780A23CC" w:rsidR="00280FAF" w:rsidRPr="00255865" w:rsidRDefault="007A62A8" w:rsidP="00280FAF">
      <w:pPr>
        <w:pStyle w:val="CETBodytext"/>
        <w:jc w:val="left"/>
        <w:rPr>
          <w:rFonts w:eastAsia="SimSun"/>
          <w:sz w:val="14"/>
          <w:szCs w:val="14"/>
          <w:lang w:val="en-GB"/>
        </w:rPr>
      </w:pPr>
      <w:r w:rsidRPr="00255865">
        <w:rPr>
          <w:rFonts w:eastAsia="SimSun"/>
          <w:sz w:val="14"/>
          <w:szCs w:val="14"/>
          <w:lang w:val="en-GB"/>
        </w:rPr>
        <w:t>CE</w:t>
      </w:r>
      <w:r w:rsidR="00280FAF" w:rsidRPr="00255865">
        <w:rPr>
          <w:rFonts w:eastAsia="SimSun"/>
          <w:sz w:val="14"/>
          <w:szCs w:val="14"/>
          <w:lang w:val="en-GB"/>
        </w:rPr>
        <w:t xml:space="preserve"> – </w:t>
      </w:r>
      <w:r w:rsidRPr="00255865">
        <w:rPr>
          <w:rFonts w:eastAsia="SimSun"/>
          <w:sz w:val="14"/>
          <w:szCs w:val="14"/>
          <w:lang w:val="en-GB"/>
        </w:rPr>
        <w:t>Coulombic Efficiency</w:t>
      </w:r>
    </w:p>
    <w:p w14:paraId="24D4E211" w14:textId="795A4349" w:rsidR="00280FAF" w:rsidRPr="00255865" w:rsidRDefault="007A62A8" w:rsidP="00280FAF">
      <w:pPr>
        <w:pStyle w:val="CETBodytext"/>
        <w:jc w:val="left"/>
        <w:rPr>
          <w:rFonts w:eastAsia="SimSun"/>
          <w:sz w:val="14"/>
          <w:szCs w:val="14"/>
          <w:lang w:val="en-GB"/>
        </w:rPr>
      </w:pPr>
      <w:r w:rsidRPr="00255865">
        <w:rPr>
          <w:rFonts w:eastAsia="SimSun"/>
          <w:sz w:val="14"/>
          <w:szCs w:val="14"/>
          <w:lang w:val="en-GB"/>
        </w:rPr>
        <w:t xml:space="preserve">SR </w:t>
      </w:r>
      <w:r w:rsidR="00280FAF" w:rsidRPr="00255865">
        <w:rPr>
          <w:rFonts w:eastAsia="SimSun"/>
          <w:sz w:val="14"/>
          <w:szCs w:val="14"/>
          <w:lang w:val="en-GB"/>
        </w:rPr>
        <w:t xml:space="preserve">– </w:t>
      </w:r>
      <w:r w:rsidRPr="00255865">
        <w:rPr>
          <w:rFonts w:eastAsia="SimSun"/>
          <w:sz w:val="14"/>
          <w:szCs w:val="14"/>
          <w:lang w:val="en-GB"/>
        </w:rPr>
        <w:t>Sulphate Reduction</w:t>
      </w:r>
    </w:p>
    <w:p w14:paraId="15F17467" w14:textId="2BB44FC1" w:rsidR="00280FAF" w:rsidRPr="00255865" w:rsidRDefault="007A62A8" w:rsidP="00280FAF">
      <w:pPr>
        <w:pStyle w:val="CETBodytext"/>
        <w:jc w:val="left"/>
        <w:rPr>
          <w:rFonts w:eastAsia="SimSun"/>
          <w:sz w:val="14"/>
          <w:szCs w:val="14"/>
        </w:rPr>
      </w:pPr>
      <w:r w:rsidRPr="00255865">
        <w:rPr>
          <w:rFonts w:eastAsia="SimSun"/>
          <w:sz w:val="14"/>
          <w:szCs w:val="14"/>
        </w:rPr>
        <w:t>NR</w:t>
      </w:r>
      <w:r w:rsidR="00280FAF" w:rsidRPr="00255865">
        <w:rPr>
          <w:rFonts w:eastAsia="SimSun"/>
          <w:sz w:val="14"/>
          <w:szCs w:val="14"/>
        </w:rPr>
        <w:t xml:space="preserve"> – </w:t>
      </w:r>
      <w:r w:rsidRPr="00255865">
        <w:rPr>
          <w:rFonts w:eastAsia="SimSun"/>
          <w:sz w:val="14"/>
          <w:szCs w:val="14"/>
        </w:rPr>
        <w:t>Nitrate Reduction</w:t>
      </w:r>
    </w:p>
    <w:p w14:paraId="6B0B5F2B" w14:textId="7ED8A207" w:rsidR="00280FAF" w:rsidRPr="00255865" w:rsidRDefault="007A62A8" w:rsidP="00280FAF">
      <w:pPr>
        <w:pStyle w:val="CETBodytext"/>
        <w:jc w:val="left"/>
        <w:rPr>
          <w:rFonts w:eastAsia="SimSun"/>
          <w:sz w:val="14"/>
          <w:szCs w:val="14"/>
        </w:rPr>
      </w:pPr>
      <w:r w:rsidRPr="00255865">
        <w:rPr>
          <w:rFonts w:eastAsia="SimSun"/>
          <w:sz w:val="14"/>
          <w:szCs w:val="14"/>
        </w:rPr>
        <w:t>SG</w:t>
      </w:r>
      <w:r w:rsidR="00280FAF" w:rsidRPr="00255865">
        <w:rPr>
          <w:rFonts w:eastAsia="SimSun"/>
          <w:sz w:val="14"/>
          <w:szCs w:val="14"/>
        </w:rPr>
        <w:t xml:space="preserve"> – </w:t>
      </w:r>
      <w:r w:rsidRPr="00255865">
        <w:rPr>
          <w:rFonts w:eastAsia="SimSun"/>
          <w:sz w:val="14"/>
          <w:szCs w:val="14"/>
        </w:rPr>
        <w:t>Synthetic Groundwater</w:t>
      </w:r>
    </w:p>
    <w:p w14:paraId="2E4EE6F7" w14:textId="5EBE52AF" w:rsidR="00280FAF" w:rsidRPr="00255865" w:rsidRDefault="007A62A8" w:rsidP="00280FAF">
      <w:pPr>
        <w:pStyle w:val="CETBodytext"/>
        <w:jc w:val="left"/>
        <w:rPr>
          <w:rFonts w:eastAsia="SimSun"/>
          <w:sz w:val="14"/>
          <w:szCs w:val="14"/>
        </w:rPr>
      </w:pPr>
      <w:r w:rsidRPr="00255865">
        <w:rPr>
          <w:rFonts w:eastAsia="SimSun"/>
          <w:sz w:val="14"/>
          <w:szCs w:val="14"/>
          <w:lang w:val="en-GB"/>
        </w:rPr>
        <w:t>RG</w:t>
      </w:r>
      <w:r w:rsidR="00280FAF" w:rsidRPr="00255865">
        <w:rPr>
          <w:rFonts w:eastAsia="SimSun"/>
          <w:sz w:val="14"/>
          <w:szCs w:val="14"/>
          <w:lang w:val="el-GR"/>
        </w:rPr>
        <w:t xml:space="preserve"> </w:t>
      </w:r>
      <w:r w:rsidRPr="00255865">
        <w:rPr>
          <w:rFonts w:eastAsia="SimSun"/>
          <w:sz w:val="14"/>
          <w:szCs w:val="14"/>
          <w:lang w:val="el-GR"/>
        </w:rPr>
        <w:t>–</w:t>
      </w:r>
      <w:r w:rsidR="00280FAF" w:rsidRPr="00255865">
        <w:rPr>
          <w:rFonts w:eastAsia="SimSun"/>
          <w:sz w:val="14"/>
          <w:szCs w:val="14"/>
          <w:lang w:val="el-GR"/>
        </w:rPr>
        <w:t xml:space="preserve"> </w:t>
      </w:r>
      <w:r w:rsidRPr="00255865">
        <w:rPr>
          <w:rFonts w:eastAsia="SimSun"/>
          <w:sz w:val="14"/>
          <w:szCs w:val="14"/>
        </w:rPr>
        <w:t>Real Groundwater</w:t>
      </w:r>
    </w:p>
    <w:p w14:paraId="23FF4C40" w14:textId="1998CD01" w:rsidR="00280FAF" w:rsidRPr="00255865" w:rsidRDefault="007A62A8" w:rsidP="00280FAF">
      <w:pPr>
        <w:pStyle w:val="CETBodytext"/>
        <w:jc w:val="left"/>
        <w:rPr>
          <w:rFonts w:eastAsia="SimSun"/>
          <w:sz w:val="14"/>
          <w:szCs w:val="14"/>
          <w:lang w:val="en-GB"/>
        </w:rPr>
      </w:pPr>
      <w:r w:rsidRPr="00255865">
        <w:rPr>
          <w:rFonts w:eastAsia="SimSun" w:cs="Arial"/>
          <w:sz w:val="14"/>
          <w:szCs w:val="14"/>
          <w:lang w:val="en-GB"/>
        </w:rPr>
        <w:t xml:space="preserve">MM </w:t>
      </w:r>
      <w:r w:rsidR="00280FAF" w:rsidRPr="00255865">
        <w:rPr>
          <w:rFonts w:eastAsia="SimSun"/>
          <w:sz w:val="14"/>
          <w:szCs w:val="14"/>
          <w:lang w:val="el-GR"/>
        </w:rPr>
        <w:t xml:space="preserve">– </w:t>
      </w:r>
      <w:r w:rsidRPr="00255865">
        <w:rPr>
          <w:rFonts w:eastAsia="SimSun"/>
          <w:sz w:val="14"/>
          <w:szCs w:val="14"/>
          <w:lang w:val="en-GB"/>
        </w:rPr>
        <w:t>Mineral Medium</w:t>
      </w:r>
    </w:p>
    <w:p w14:paraId="38BFE636" w14:textId="2A15824D" w:rsidR="00280FAF" w:rsidRPr="00CD22CA" w:rsidRDefault="00280FAF" w:rsidP="00280FAF">
      <w:pPr>
        <w:pStyle w:val="CETBodytext"/>
        <w:jc w:val="left"/>
        <w:rPr>
          <w:rFonts w:eastAsia="SimSun"/>
          <w:sz w:val="16"/>
          <w:szCs w:val="16"/>
        </w:rPr>
        <w:sectPr w:rsidR="00280FAF" w:rsidRPr="00CD22CA"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5626E2C5" w:rsidR="00600535" w:rsidRPr="00A95CF0" w:rsidRDefault="000803D1" w:rsidP="000803D1">
      <w:pPr>
        <w:pStyle w:val="CETBodytext"/>
      </w:pPr>
      <w:r>
        <w:t xml:space="preserve">This project has received funding from the European Union’s Horizon 2020 research and innovation </w:t>
      </w:r>
      <w:proofErr w:type="spellStart"/>
      <w:r>
        <w:t>programme</w:t>
      </w:r>
      <w:proofErr w:type="spellEnd"/>
      <w:r>
        <w:t xml:space="preserve"> under grant agreement No 826244-ELECTRA.</w:t>
      </w:r>
    </w:p>
    <w:p w14:paraId="3B2CD7A5" w14:textId="55AFD0BE" w:rsidR="0037550A" w:rsidRDefault="00600535" w:rsidP="009908E4">
      <w:pPr>
        <w:pStyle w:val="CETReference"/>
      </w:pPr>
      <w:r w:rsidRPr="00B57B36">
        <w:t>References</w:t>
      </w:r>
    </w:p>
    <w:p w14:paraId="4259B201" w14:textId="703D997C" w:rsidR="0037550A" w:rsidRDefault="0037550A" w:rsidP="00AC7CAC">
      <w:pPr>
        <w:pStyle w:val="CETReferencetext"/>
      </w:pPr>
      <w:proofErr w:type="spellStart"/>
      <w:r>
        <w:t>Casasso</w:t>
      </w:r>
      <w:proofErr w:type="spellEnd"/>
      <w:r>
        <w:t xml:space="preserve"> A., Tosco</w:t>
      </w:r>
      <w:r w:rsidRPr="00AC7CAC">
        <w:t xml:space="preserve"> </w:t>
      </w:r>
      <w:r>
        <w:t>T., Bianco</w:t>
      </w:r>
      <w:r w:rsidRPr="00AC7CAC">
        <w:t xml:space="preserve"> </w:t>
      </w:r>
      <w:r>
        <w:t>C., Bucci</w:t>
      </w:r>
      <w:r w:rsidRPr="00AC7CAC">
        <w:t xml:space="preserve"> </w:t>
      </w:r>
      <w:r>
        <w:t>A., Sethi</w:t>
      </w:r>
      <w:r w:rsidRPr="00AC7CAC">
        <w:t xml:space="preserve"> </w:t>
      </w:r>
      <w:r>
        <w:t xml:space="preserve">R., How can we make pump and treat systems more energetically </w:t>
      </w:r>
      <w:proofErr w:type="gramStart"/>
      <w:r w:rsidR="00CD22CA">
        <w:t>sustainable?,</w:t>
      </w:r>
      <w:proofErr w:type="gramEnd"/>
      <w:r w:rsidR="00CD22CA">
        <w:t xml:space="preserve"> </w:t>
      </w:r>
      <w:r>
        <w:t>Water (Switzerland). 12 (2020</w:t>
      </w:r>
      <w:r w:rsidR="00364EC3">
        <w:t>)</w:t>
      </w:r>
      <w:r>
        <w:t>.</w:t>
      </w:r>
    </w:p>
    <w:p w14:paraId="060E9AC5" w14:textId="2E81D8A8" w:rsidR="0037550A" w:rsidRDefault="0037550A" w:rsidP="00AC7CAC">
      <w:pPr>
        <w:pStyle w:val="CETReferencetext"/>
      </w:pPr>
      <w:r>
        <w:t>Dell’Armi</w:t>
      </w:r>
      <w:r w:rsidRPr="00AC7CAC">
        <w:t xml:space="preserve"> </w:t>
      </w:r>
      <w:r>
        <w:t>E., Zeppilli</w:t>
      </w:r>
      <w:r w:rsidRPr="00AC7CAC">
        <w:t xml:space="preserve"> </w:t>
      </w:r>
      <w:r>
        <w:t xml:space="preserve">M., De </w:t>
      </w:r>
      <w:proofErr w:type="spellStart"/>
      <w:r>
        <w:t>Santis</w:t>
      </w:r>
      <w:proofErr w:type="spellEnd"/>
      <w:r w:rsidRPr="00AC7CAC">
        <w:t xml:space="preserve"> </w:t>
      </w:r>
      <w:r>
        <w:t xml:space="preserve">F., </w:t>
      </w:r>
      <w:proofErr w:type="spellStart"/>
      <w:r>
        <w:t>Petrangeli</w:t>
      </w:r>
      <w:proofErr w:type="spellEnd"/>
      <w:r>
        <w:t xml:space="preserve"> Papini</w:t>
      </w:r>
      <w:r w:rsidRPr="00AC7CAC">
        <w:t xml:space="preserve"> </w:t>
      </w:r>
      <w:r>
        <w:t xml:space="preserve">M., </w:t>
      </w:r>
      <w:proofErr w:type="spellStart"/>
      <w:r>
        <w:t>Majone</w:t>
      </w:r>
      <w:proofErr w:type="spellEnd"/>
      <w:r w:rsidRPr="00AC7CAC">
        <w:t xml:space="preserve"> </w:t>
      </w:r>
      <w:r>
        <w:t xml:space="preserve">M., Control of </w:t>
      </w:r>
      <w:proofErr w:type="spellStart"/>
      <w:r>
        <w:t>Sulfate</w:t>
      </w:r>
      <w:proofErr w:type="spellEnd"/>
      <w:r>
        <w:t xml:space="preserve"> and Nitrate Reduction by Setting Hydraulic Retention Time and Applied Potential on a </w:t>
      </w:r>
      <w:proofErr w:type="spellStart"/>
      <w:r>
        <w:t>Membraneless</w:t>
      </w:r>
      <w:proofErr w:type="spellEnd"/>
      <w:r>
        <w:t xml:space="preserve"> Microbial Electrolysis Cell for Perchloroethylene Removal, ACS Omega. (2021a). </w:t>
      </w:r>
    </w:p>
    <w:p w14:paraId="79543933" w14:textId="4661664B" w:rsidR="0037550A" w:rsidRDefault="0037550A" w:rsidP="00AC7CAC">
      <w:pPr>
        <w:pStyle w:val="CETReferencetext"/>
      </w:pPr>
      <w:r>
        <w:t>Dell’Armi</w:t>
      </w:r>
      <w:r w:rsidRPr="00AC7CAC">
        <w:t xml:space="preserve"> </w:t>
      </w:r>
      <w:r>
        <w:t>E., Zeppilli</w:t>
      </w:r>
      <w:r w:rsidRPr="00AC7CAC">
        <w:t xml:space="preserve"> </w:t>
      </w:r>
      <w:r>
        <w:t xml:space="preserve">M., </w:t>
      </w:r>
      <w:proofErr w:type="spellStart"/>
      <w:r>
        <w:t>Matturro</w:t>
      </w:r>
      <w:proofErr w:type="spellEnd"/>
      <w:r w:rsidRPr="00AC7CAC">
        <w:t xml:space="preserve"> </w:t>
      </w:r>
      <w:r>
        <w:t>B., Rossetti</w:t>
      </w:r>
      <w:r w:rsidRPr="00AC7CAC">
        <w:t xml:space="preserve"> </w:t>
      </w:r>
      <w:r>
        <w:t xml:space="preserve">S., </w:t>
      </w:r>
      <w:proofErr w:type="spellStart"/>
      <w:r>
        <w:t>Petrangeli</w:t>
      </w:r>
      <w:proofErr w:type="spellEnd"/>
      <w:r>
        <w:t>, Papini</w:t>
      </w:r>
      <w:r w:rsidRPr="00AC7CAC">
        <w:t xml:space="preserve"> </w:t>
      </w:r>
      <w:r>
        <w:t>M., Effects of the Feeding Solution Composition on a Reductive / Oxidative Sequential Bioelectrochemical Process for Perchloroethylene Removal, Processes. (2021b).</w:t>
      </w:r>
    </w:p>
    <w:p w14:paraId="2F235E3A" w14:textId="77777777" w:rsidR="0037550A" w:rsidRDefault="0037550A" w:rsidP="00AC7CAC">
      <w:pPr>
        <w:pStyle w:val="CETReferencetext"/>
      </w:pPr>
      <w:proofErr w:type="spellStart"/>
      <w:r>
        <w:t>Matturro</w:t>
      </w:r>
      <w:proofErr w:type="spellEnd"/>
      <w:r w:rsidRPr="00AC7CAC">
        <w:t xml:space="preserve"> </w:t>
      </w:r>
      <w:r>
        <w:t xml:space="preserve">B., </w:t>
      </w:r>
      <w:proofErr w:type="spellStart"/>
      <w:r>
        <w:t>Pierro</w:t>
      </w:r>
      <w:proofErr w:type="spellEnd"/>
      <w:r w:rsidRPr="00AC7CAC">
        <w:t xml:space="preserve"> </w:t>
      </w:r>
      <w:r>
        <w:t xml:space="preserve">L., </w:t>
      </w:r>
      <w:proofErr w:type="spellStart"/>
      <w:r>
        <w:t>Frascadore</w:t>
      </w:r>
      <w:proofErr w:type="spellEnd"/>
      <w:r w:rsidRPr="00AC7CAC">
        <w:t xml:space="preserve"> </w:t>
      </w:r>
      <w:r>
        <w:t xml:space="preserve">E., </w:t>
      </w:r>
      <w:proofErr w:type="spellStart"/>
      <w:r>
        <w:t>Petrangeli</w:t>
      </w:r>
      <w:proofErr w:type="spellEnd"/>
      <w:r>
        <w:t xml:space="preserve"> Papini</w:t>
      </w:r>
      <w:r w:rsidRPr="00AC7CAC">
        <w:t xml:space="preserve"> </w:t>
      </w:r>
      <w:r>
        <w:t>M., Rossetti</w:t>
      </w:r>
      <w:r w:rsidRPr="00AC7CAC">
        <w:t xml:space="preserve"> </w:t>
      </w:r>
      <w:r>
        <w:t xml:space="preserve">S., Microbial community changes in a chlorinated solvents polluted aquifer over the field scale treatment with poly-3-hydroxybutyrate as amendment, Front. </w:t>
      </w:r>
      <w:proofErr w:type="spellStart"/>
      <w:r>
        <w:t>Microbiol</w:t>
      </w:r>
      <w:proofErr w:type="spellEnd"/>
      <w:r>
        <w:t>. 9 (2018) 1–11.</w:t>
      </w:r>
    </w:p>
    <w:p w14:paraId="7AE2A4EB" w14:textId="1107A558" w:rsidR="0037550A" w:rsidRDefault="0037550A" w:rsidP="00AC7CAC">
      <w:pPr>
        <w:pStyle w:val="CETReferencetext"/>
      </w:pPr>
      <w:r>
        <w:t>Rosenbaum</w:t>
      </w:r>
      <w:r w:rsidRPr="00AC7CAC">
        <w:t xml:space="preserve"> </w:t>
      </w:r>
      <w:r>
        <w:t xml:space="preserve">M., </w:t>
      </w:r>
      <w:proofErr w:type="spellStart"/>
      <w:r>
        <w:t>Aulenta</w:t>
      </w:r>
      <w:proofErr w:type="spellEnd"/>
      <w:r w:rsidRPr="00AC7CAC">
        <w:t xml:space="preserve"> </w:t>
      </w:r>
      <w:r>
        <w:t xml:space="preserve">F., </w:t>
      </w:r>
      <w:proofErr w:type="spellStart"/>
      <w:r>
        <w:t>Villano</w:t>
      </w:r>
      <w:proofErr w:type="spellEnd"/>
      <w:r w:rsidRPr="00AC7CAC">
        <w:t xml:space="preserve"> </w:t>
      </w:r>
      <w:r>
        <w:t xml:space="preserve">M., </w:t>
      </w:r>
      <w:proofErr w:type="spellStart"/>
      <w:r>
        <w:t>Angenent</w:t>
      </w:r>
      <w:proofErr w:type="spellEnd"/>
      <w:r w:rsidRPr="00AC7CAC">
        <w:t xml:space="preserve"> </w:t>
      </w:r>
      <w:r>
        <w:t xml:space="preserve">L.T., Cathodes as electron donors for microbial metabolism: Which extracellular electron transfer mechanisms are </w:t>
      </w:r>
      <w:proofErr w:type="gramStart"/>
      <w:r w:rsidR="00CD22CA">
        <w:t>involved?,</w:t>
      </w:r>
      <w:proofErr w:type="gramEnd"/>
      <w:r w:rsidR="00CD22CA">
        <w:t xml:space="preserve"> </w:t>
      </w:r>
      <w:proofErr w:type="spellStart"/>
      <w:r>
        <w:t>Bioresour</w:t>
      </w:r>
      <w:proofErr w:type="spellEnd"/>
      <w:r>
        <w:t>. Technol. 102 (2011) 324–333.</w:t>
      </w:r>
    </w:p>
    <w:p w14:paraId="63DDC102" w14:textId="06813E63" w:rsidR="0037550A" w:rsidRDefault="0037550A" w:rsidP="00AC7CAC">
      <w:pPr>
        <w:pStyle w:val="CETReferencetext"/>
      </w:pPr>
      <w:r>
        <w:t>Rossi</w:t>
      </w:r>
      <w:r w:rsidRPr="00AC7CAC">
        <w:t xml:space="preserve"> </w:t>
      </w:r>
      <w:r>
        <w:t>M.M., Dell’Armi</w:t>
      </w:r>
      <w:r w:rsidRPr="00AC7CAC">
        <w:t xml:space="preserve"> </w:t>
      </w:r>
      <w:r>
        <w:t xml:space="preserve">E., </w:t>
      </w:r>
      <w:proofErr w:type="spellStart"/>
      <w:r>
        <w:t>Lorini</w:t>
      </w:r>
      <w:proofErr w:type="spellEnd"/>
      <w:r w:rsidRPr="00AC7CAC">
        <w:t xml:space="preserve"> </w:t>
      </w:r>
      <w:r>
        <w:t xml:space="preserve">L., </w:t>
      </w:r>
      <w:proofErr w:type="spellStart"/>
      <w:r>
        <w:t>Amanat</w:t>
      </w:r>
      <w:proofErr w:type="spellEnd"/>
      <w:r w:rsidRPr="00AC7CAC">
        <w:t xml:space="preserve"> </w:t>
      </w:r>
      <w:r>
        <w:t>N., Zeppilli</w:t>
      </w:r>
      <w:r w:rsidRPr="00AC7CAC">
        <w:t xml:space="preserve"> </w:t>
      </w:r>
      <w:r>
        <w:t xml:space="preserve">M., </w:t>
      </w:r>
      <w:proofErr w:type="spellStart"/>
      <w:r>
        <w:t>Villano</w:t>
      </w:r>
      <w:proofErr w:type="spellEnd"/>
      <w:r w:rsidRPr="00AC7CAC">
        <w:t xml:space="preserve"> </w:t>
      </w:r>
      <w:r>
        <w:t xml:space="preserve">M., </w:t>
      </w:r>
      <w:proofErr w:type="spellStart"/>
      <w:r>
        <w:t>Petrangeli</w:t>
      </w:r>
      <w:proofErr w:type="spellEnd"/>
      <w:r>
        <w:t xml:space="preserve"> Papini</w:t>
      </w:r>
      <w:r w:rsidRPr="00AC7CAC">
        <w:t xml:space="preserve"> </w:t>
      </w:r>
      <w:r>
        <w:t>M., Combined Strategies to Prompt the Biological Reduction of Chlorinated Aliphatic Hydrocarbon</w:t>
      </w:r>
      <w:r w:rsidR="00CD22CA">
        <w:t>s</w:t>
      </w:r>
      <w:r>
        <w:t>: New Sustainable Options for Bioremediation Application, Bioengineering. 8 (2021) 109. https://doi.org/10.3390/bioengineering8080109.</w:t>
      </w:r>
    </w:p>
    <w:p w14:paraId="4D424A75" w14:textId="77777777" w:rsidR="0037550A" w:rsidRDefault="0037550A" w:rsidP="0037550A">
      <w:pPr>
        <w:pStyle w:val="CETReferencetext"/>
      </w:pPr>
      <w:r>
        <w:t>Zeppilli</w:t>
      </w:r>
      <w:r w:rsidRPr="00AC7CAC">
        <w:t xml:space="preserve"> </w:t>
      </w:r>
      <w:r>
        <w:t>M., Dell’Armi</w:t>
      </w:r>
      <w:r w:rsidRPr="00AC7CAC">
        <w:t xml:space="preserve"> </w:t>
      </w:r>
      <w:r>
        <w:t xml:space="preserve">E., </w:t>
      </w:r>
      <w:proofErr w:type="spellStart"/>
      <w:r>
        <w:t>Petrangeli</w:t>
      </w:r>
      <w:proofErr w:type="spellEnd"/>
      <w:r>
        <w:t xml:space="preserve"> Papini</w:t>
      </w:r>
      <w:r w:rsidRPr="00AC7CAC">
        <w:t xml:space="preserve"> </w:t>
      </w:r>
      <w:r>
        <w:t xml:space="preserve">M., </w:t>
      </w:r>
      <w:proofErr w:type="spellStart"/>
      <w:r>
        <w:t>Majone</w:t>
      </w:r>
      <w:proofErr w:type="spellEnd"/>
      <w:r w:rsidRPr="0037550A">
        <w:t xml:space="preserve"> </w:t>
      </w:r>
      <w:r>
        <w:t xml:space="preserve">M., Sequential reductive/oxidative </w:t>
      </w:r>
      <w:proofErr w:type="spellStart"/>
      <w:r>
        <w:t>bioelectrochemical</w:t>
      </w:r>
      <w:proofErr w:type="spellEnd"/>
      <w:r>
        <w:t xml:space="preserve"> </w:t>
      </w:r>
      <w:proofErr w:type="spellStart"/>
      <w:r>
        <w:t>processfor</w:t>
      </w:r>
      <w:proofErr w:type="spellEnd"/>
      <w:r>
        <w:t xml:space="preserve"> groundwater perchloroethylene removal, Chem. Eng. Trans. 86 (2021) 373–378.</w:t>
      </w:r>
    </w:p>
    <w:p w14:paraId="032F5774" w14:textId="77777777" w:rsidR="0037550A" w:rsidRDefault="0037550A" w:rsidP="00AC7CAC">
      <w:pPr>
        <w:pStyle w:val="CETReferencetext"/>
      </w:pPr>
      <w:r>
        <w:t>Zhu</w:t>
      </w:r>
      <w:r w:rsidRPr="00AC7CAC">
        <w:t xml:space="preserve"> </w:t>
      </w:r>
      <w:r>
        <w:t>X., Wang</w:t>
      </w:r>
      <w:r w:rsidRPr="00AC7CAC">
        <w:t xml:space="preserve"> </w:t>
      </w:r>
      <w:r>
        <w:t>X., Li</w:t>
      </w:r>
      <w:r w:rsidRPr="00AC7CAC">
        <w:t xml:space="preserve"> </w:t>
      </w:r>
      <w:r>
        <w:t>N., Wang</w:t>
      </w:r>
      <w:r w:rsidRPr="00AC7CAC">
        <w:t xml:space="preserve"> </w:t>
      </w:r>
      <w:r>
        <w:t>Q., Liao</w:t>
      </w:r>
      <w:r w:rsidRPr="00AC7CAC">
        <w:t xml:space="preserve"> </w:t>
      </w:r>
      <w:r>
        <w:t xml:space="preserve">C., Bioelectrochemical system for dehalogenation: A review, Environ. </w:t>
      </w:r>
      <w:proofErr w:type="spellStart"/>
      <w:r>
        <w:t>Pollut</w:t>
      </w:r>
      <w:proofErr w:type="spellEnd"/>
      <w:r>
        <w:t>. 293 (2022).</w:t>
      </w:r>
    </w:p>
    <w:sectPr w:rsidR="0037550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25B7" w14:textId="77777777" w:rsidR="002756C0" w:rsidRDefault="002756C0" w:rsidP="004F5E36">
      <w:r>
        <w:separator/>
      </w:r>
    </w:p>
  </w:endnote>
  <w:endnote w:type="continuationSeparator" w:id="0">
    <w:p w14:paraId="2F8045A6" w14:textId="77777777" w:rsidR="002756C0" w:rsidRDefault="002756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F637" w14:textId="77777777" w:rsidR="002756C0" w:rsidRDefault="002756C0" w:rsidP="004F5E36">
      <w:r>
        <w:separator/>
      </w:r>
    </w:p>
  </w:footnote>
  <w:footnote w:type="continuationSeparator" w:id="0">
    <w:p w14:paraId="2749EE41" w14:textId="77777777" w:rsidR="002756C0" w:rsidRDefault="002756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528"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A2E79B9"/>
    <w:multiLevelType w:val="hybridMultilevel"/>
    <w:tmpl w:val="F7566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FA5"/>
    <w:rsid w:val="000117CB"/>
    <w:rsid w:val="00011969"/>
    <w:rsid w:val="00012862"/>
    <w:rsid w:val="00014A10"/>
    <w:rsid w:val="0003148D"/>
    <w:rsid w:val="00031EEC"/>
    <w:rsid w:val="000375DE"/>
    <w:rsid w:val="00051566"/>
    <w:rsid w:val="0005678B"/>
    <w:rsid w:val="00060F8B"/>
    <w:rsid w:val="00062A9A"/>
    <w:rsid w:val="00065058"/>
    <w:rsid w:val="00075233"/>
    <w:rsid w:val="000803D1"/>
    <w:rsid w:val="00086C39"/>
    <w:rsid w:val="00087A8F"/>
    <w:rsid w:val="00087F17"/>
    <w:rsid w:val="000A03B2"/>
    <w:rsid w:val="000A4314"/>
    <w:rsid w:val="000D0268"/>
    <w:rsid w:val="000D34BE"/>
    <w:rsid w:val="000D3F5F"/>
    <w:rsid w:val="000E102F"/>
    <w:rsid w:val="000E36F1"/>
    <w:rsid w:val="000E3A73"/>
    <w:rsid w:val="000E414A"/>
    <w:rsid w:val="000E5685"/>
    <w:rsid w:val="000F093C"/>
    <w:rsid w:val="000F1D8D"/>
    <w:rsid w:val="000F4718"/>
    <w:rsid w:val="000F787B"/>
    <w:rsid w:val="001001D5"/>
    <w:rsid w:val="001023AD"/>
    <w:rsid w:val="0012091F"/>
    <w:rsid w:val="001225E6"/>
    <w:rsid w:val="00123EE8"/>
    <w:rsid w:val="00126BC2"/>
    <w:rsid w:val="001308B6"/>
    <w:rsid w:val="0013121F"/>
    <w:rsid w:val="00131FE6"/>
    <w:rsid w:val="0013263F"/>
    <w:rsid w:val="001331DF"/>
    <w:rsid w:val="00134DE4"/>
    <w:rsid w:val="0014034D"/>
    <w:rsid w:val="00144D16"/>
    <w:rsid w:val="00150E59"/>
    <w:rsid w:val="00152DE3"/>
    <w:rsid w:val="001613C4"/>
    <w:rsid w:val="00164CF9"/>
    <w:rsid w:val="001667A6"/>
    <w:rsid w:val="00167AA0"/>
    <w:rsid w:val="0017071A"/>
    <w:rsid w:val="001827D4"/>
    <w:rsid w:val="00184AD6"/>
    <w:rsid w:val="001A4AF7"/>
    <w:rsid w:val="001B0349"/>
    <w:rsid w:val="001B193C"/>
    <w:rsid w:val="001B1E93"/>
    <w:rsid w:val="001B65C1"/>
    <w:rsid w:val="001C684B"/>
    <w:rsid w:val="001D0CFB"/>
    <w:rsid w:val="001D21AF"/>
    <w:rsid w:val="001D4BB7"/>
    <w:rsid w:val="001D53FC"/>
    <w:rsid w:val="001E2C40"/>
    <w:rsid w:val="001F24C5"/>
    <w:rsid w:val="001F42A5"/>
    <w:rsid w:val="001F7B9D"/>
    <w:rsid w:val="00201634"/>
    <w:rsid w:val="00201C93"/>
    <w:rsid w:val="00222433"/>
    <w:rsid w:val="002224B4"/>
    <w:rsid w:val="002447EF"/>
    <w:rsid w:val="00251550"/>
    <w:rsid w:val="00255865"/>
    <w:rsid w:val="00263B05"/>
    <w:rsid w:val="002704F6"/>
    <w:rsid w:val="0027221A"/>
    <w:rsid w:val="002756C0"/>
    <w:rsid w:val="00275B61"/>
    <w:rsid w:val="00280FAF"/>
    <w:rsid w:val="00282656"/>
    <w:rsid w:val="00296B83"/>
    <w:rsid w:val="002A556D"/>
    <w:rsid w:val="002B4015"/>
    <w:rsid w:val="002B78CE"/>
    <w:rsid w:val="002C2FB6"/>
    <w:rsid w:val="002D6A8C"/>
    <w:rsid w:val="002E5FA7"/>
    <w:rsid w:val="002F225B"/>
    <w:rsid w:val="002F3309"/>
    <w:rsid w:val="002F35C4"/>
    <w:rsid w:val="00300702"/>
    <w:rsid w:val="003008CE"/>
    <w:rsid w:val="003009B7"/>
    <w:rsid w:val="00300E56"/>
    <w:rsid w:val="00302246"/>
    <w:rsid w:val="00302481"/>
    <w:rsid w:val="0030469C"/>
    <w:rsid w:val="00304895"/>
    <w:rsid w:val="00304D7E"/>
    <w:rsid w:val="00321CA6"/>
    <w:rsid w:val="00323763"/>
    <w:rsid w:val="00334C09"/>
    <w:rsid w:val="0033502F"/>
    <w:rsid w:val="003579E4"/>
    <w:rsid w:val="00364EC3"/>
    <w:rsid w:val="0036551C"/>
    <w:rsid w:val="003723D4"/>
    <w:rsid w:val="0037550A"/>
    <w:rsid w:val="00377C7A"/>
    <w:rsid w:val="00381905"/>
    <w:rsid w:val="00384CC8"/>
    <w:rsid w:val="003871FD"/>
    <w:rsid w:val="003A1E30"/>
    <w:rsid w:val="003A2829"/>
    <w:rsid w:val="003A7D1C"/>
    <w:rsid w:val="003B2772"/>
    <w:rsid w:val="003B304B"/>
    <w:rsid w:val="003B3146"/>
    <w:rsid w:val="003B63F5"/>
    <w:rsid w:val="003C54BE"/>
    <w:rsid w:val="003E060A"/>
    <w:rsid w:val="003F015E"/>
    <w:rsid w:val="00400414"/>
    <w:rsid w:val="0041446B"/>
    <w:rsid w:val="00433A98"/>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5B5B"/>
    <w:rsid w:val="004C3D1D"/>
    <w:rsid w:val="004C7913"/>
    <w:rsid w:val="004D4188"/>
    <w:rsid w:val="004E18CD"/>
    <w:rsid w:val="004E4DD6"/>
    <w:rsid w:val="004E5A40"/>
    <w:rsid w:val="004E7E59"/>
    <w:rsid w:val="004F5E36"/>
    <w:rsid w:val="004F79FA"/>
    <w:rsid w:val="00502C65"/>
    <w:rsid w:val="00507B47"/>
    <w:rsid w:val="00507BEF"/>
    <w:rsid w:val="00507CC9"/>
    <w:rsid w:val="005119A5"/>
    <w:rsid w:val="005124FE"/>
    <w:rsid w:val="00521472"/>
    <w:rsid w:val="005278B7"/>
    <w:rsid w:val="00532016"/>
    <w:rsid w:val="005346C8"/>
    <w:rsid w:val="00543E7D"/>
    <w:rsid w:val="00547556"/>
    <w:rsid w:val="00547A68"/>
    <w:rsid w:val="005504D7"/>
    <w:rsid w:val="005531C9"/>
    <w:rsid w:val="00553B18"/>
    <w:rsid w:val="00555B38"/>
    <w:rsid w:val="00570C43"/>
    <w:rsid w:val="00573AF5"/>
    <w:rsid w:val="005812B0"/>
    <w:rsid w:val="005832A3"/>
    <w:rsid w:val="005A18F6"/>
    <w:rsid w:val="005B2110"/>
    <w:rsid w:val="005B4574"/>
    <w:rsid w:val="005B61E6"/>
    <w:rsid w:val="005C40B1"/>
    <w:rsid w:val="005C77E1"/>
    <w:rsid w:val="005D05A2"/>
    <w:rsid w:val="005D3F5A"/>
    <w:rsid w:val="005D668A"/>
    <w:rsid w:val="005D6A2F"/>
    <w:rsid w:val="005D7D0E"/>
    <w:rsid w:val="005E1A82"/>
    <w:rsid w:val="005E6B81"/>
    <w:rsid w:val="005E794C"/>
    <w:rsid w:val="005F0A28"/>
    <w:rsid w:val="005F0E5E"/>
    <w:rsid w:val="00600535"/>
    <w:rsid w:val="00604911"/>
    <w:rsid w:val="00610CD6"/>
    <w:rsid w:val="0061392F"/>
    <w:rsid w:val="00620DEE"/>
    <w:rsid w:val="00621F92"/>
    <w:rsid w:val="0062280A"/>
    <w:rsid w:val="00625639"/>
    <w:rsid w:val="00631B33"/>
    <w:rsid w:val="0064184D"/>
    <w:rsid w:val="006422CC"/>
    <w:rsid w:val="006509B6"/>
    <w:rsid w:val="00656D77"/>
    <w:rsid w:val="00660E3E"/>
    <w:rsid w:val="00662E74"/>
    <w:rsid w:val="00677164"/>
    <w:rsid w:val="00680C23"/>
    <w:rsid w:val="00682A74"/>
    <w:rsid w:val="00686FD0"/>
    <w:rsid w:val="0069322F"/>
    <w:rsid w:val="00693766"/>
    <w:rsid w:val="006A3281"/>
    <w:rsid w:val="006B4888"/>
    <w:rsid w:val="006B4B19"/>
    <w:rsid w:val="006C2E45"/>
    <w:rsid w:val="006C359C"/>
    <w:rsid w:val="006C3883"/>
    <w:rsid w:val="006C5579"/>
    <w:rsid w:val="006D6E8B"/>
    <w:rsid w:val="006E737D"/>
    <w:rsid w:val="00702DB8"/>
    <w:rsid w:val="00713973"/>
    <w:rsid w:val="00720954"/>
    <w:rsid w:val="00720A24"/>
    <w:rsid w:val="00721ADF"/>
    <w:rsid w:val="00726D45"/>
    <w:rsid w:val="00732386"/>
    <w:rsid w:val="0073514D"/>
    <w:rsid w:val="007447F3"/>
    <w:rsid w:val="007472AC"/>
    <w:rsid w:val="0075491D"/>
    <w:rsid w:val="0075499F"/>
    <w:rsid w:val="007661C8"/>
    <w:rsid w:val="0077098D"/>
    <w:rsid w:val="00784AD1"/>
    <w:rsid w:val="007931FA"/>
    <w:rsid w:val="007A3D78"/>
    <w:rsid w:val="007A4861"/>
    <w:rsid w:val="007A62A8"/>
    <w:rsid w:val="007A7BBA"/>
    <w:rsid w:val="007B0C50"/>
    <w:rsid w:val="007B143A"/>
    <w:rsid w:val="007B48F9"/>
    <w:rsid w:val="007C1A43"/>
    <w:rsid w:val="007C4668"/>
    <w:rsid w:val="007D04AE"/>
    <w:rsid w:val="007D4C2C"/>
    <w:rsid w:val="007D5ACF"/>
    <w:rsid w:val="007E40FD"/>
    <w:rsid w:val="007E7879"/>
    <w:rsid w:val="0080013E"/>
    <w:rsid w:val="00801646"/>
    <w:rsid w:val="00802407"/>
    <w:rsid w:val="00802CC7"/>
    <w:rsid w:val="00813288"/>
    <w:rsid w:val="008168FC"/>
    <w:rsid w:val="00830996"/>
    <w:rsid w:val="008345F1"/>
    <w:rsid w:val="00844E01"/>
    <w:rsid w:val="0086234B"/>
    <w:rsid w:val="00865B07"/>
    <w:rsid w:val="008667EA"/>
    <w:rsid w:val="008679FD"/>
    <w:rsid w:val="00871E52"/>
    <w:rsid w:val="008731D7"/>
    <w:rsid w:val="0087637F"/>
    <w:rsid w:val="008838D7"/>
    <w:rsid w:val="00892AD5"/>
    <w:rsid w:val="008A1512"/>
    <w:rsid w:val="008D32B9"/>
    <w:rsid w:val="008D433B"/>
    <w:rsid w:val="008E02DE"/>
    <w:rsid w:val="008E566E"/>
    <w:rsid w:val="008F5755"/>
    <w:rsid w:val="0090161A"/>
    <w:rsid w:val="00901EB6"/>
    <w:rsid w:val="00904C62"/>
    <w:rsid w:val="00916038"/>
    <w:rsid w:val="00922BA8"/>
    <w:rsid w:val="00924DAC"/>
    <w:rsid w:val="00927058"/>
    <w:rsid w:val="00931A7A"/>
    <w:rsid w:val="00942750"/>
    <w:rsid w:val="009450CE"/>
    <w:rsid w:val="00945AB6"/>
    <w:rsid w:val="00947179"/>
    <w:rsid w:val="0095164B"/>
    <w:rsid w:val="00954090"/>
    <w:rsid w:val="009573E7"/>
    <w:rsid w:val="00963E05"/>
    <w:rsid w:val="00964A45"/>
    <w:rsid w:val="00967843"/>
    <w:rsid w:val="00967D54"/>
    <w:rsid w:val="00970DDD"/>
    <w:rsid w:val="00971028"/>
    <w:rsid w:val="009908E4"/>
    <w:rsid w:val="00993B84"/>
    <w:rsid w:val="00996483"/>
    <w:rsid w:val="00996F5A"/>
    <w:rsid w:val="009A0DD8"/>
    <w:rsid w:val="009A2CD5"/>
    <w:rsid w:val="009A56C8"/>
    <w:rsid w:val="009B041A"/>
    <w:rsid w:val="009B7D16"/>
    <w:rsid w:val="009C37C3"/>
    <w:rsid w:val="009C7C86"/>
    <w:rsid w:val="009D2FF7"/>
    <w:rsid w:val="009D7A06"/>
    <w:rsid w:val="009E7884"/>
    <w:rsid w:val="009E788A"/>
    <w:rsid w:val="009F0E08"/>
    <w:rsid w:val="00A04FEA"/>
    <w:rsid w:val="00A1763D"/>
    <w:rsid w:val="00A17CEC"/>
    <w:rsid w:val="00A21C9A"/>
    <w:rsid w:val="00A27EF0"/>
    <w:rsid w:val="00A320EA"/>
    <w:rsid w:val="00A42361"/>
    <w:rsid w:val="00A50B20"/>
    <w:rsid w:val="00A51390"/>
    <w:rsid w:val="00A60D13"/>
    <w:rsid w:val="00A72745"/>
    <w:rsid w:val="00A76EFC"/>
    <w:rsid w:val="00A81739"/>
    <w:rsid w:val="00A91010"/>
    <w:rsid w:val="00A95CF0"/>
    <w:rsid w:val="00A97F29"/>
    <w:rsid w:val="00AA702E"/>
    <w:rsid w:val="00AB0964"/>
    <w:rsid w:val="00AB5011"/>
    <w:rsid w:val="00AC7368"/>
    <w:rsid w:val="00AC7CAC"/>
    <w:rsid w:val="00AD16B9"/>
    <w:rsid w:val="00AE377D"/>
    <w:rsid w:val="00AF0EBA"/>
    <w:rsid w:val="00AF6775"/>
    <w:rsid w:val="00B015F2"/>
    <w:rsid w:val="00B02C8A"/>
    <w:rsid w:val="00B17FBD"/>
    <w:rsid w:val="00B23D1F"/>
    <w:rsid w:val="00B30054"/>
    <w:rsid w:val="00B315A6"/>
    <w:rsid w:val="00B31813"/>
    <w:rsid w:val="00B33365"/>
    <w:rsid w:val="00B542ED"/>
    <w:rsid w:val="00B57B36"/>
    <w:rsid w:val="00B57E6F"/>
    <w:rsid w:val="00B8686D"/>
    <w:rsid w:val="00B93F69"/>
    <w:rsid w:val="00BA7B0F"/>
    <w:rsid w:val="00BB03FD"/>
    <w:rsid w:val="00BB1DDC"/>
    <w:rsid w:val="00BC30C9"/>
    <w:rsid w:val="00BD077D"/>
    <w:rsid w:val="00BE3E58"/>
    <w:rsid w:val="00BE7ACD"/>
    <w:rsid w:val="00C01616"/>
    <w:rsid w:val="00C0162B"/>
    <w:rsid w:val="00C068ED"/>
    <w:rsid w:val="00C22E0C"/>
    <w:rsid w:val="00C33466"/>
    <w:rsid w:val="00C345B1"/>
    <w:rsid w:val="00C40142"/>
    <w:rsid w:val="00C52C3C"/>
    <w:rsid w:val="00C57182"/>
    <w:rsid w:val="00C574F4"/>
    <w:rsid w:val="00C57863"/>
    <w:rsid w:val="00C655FD"/>
    <w:rsid w:val="00C75407"/>
    <w:rsid w:val="00C82CAF"/>
    <w:rsid w:val="00C83589"/>
    <w:rsid w:val="00C83E0F"/>
    <w:rsid w:val="00C870A8"/>
    <w:rsid w:val="00C904F2"/>
    <w:rsid w:val="00C94434"/>
    <w:rsid w:val="00CA0D75"/>
    <w:rsid w:val="00CA1C95"/>
    <w:rsid w:val="00CA5A9C"/>
    <w:rsid w:val="00CC2604"/>
    <w:rsid w:val="00CC4C20"/>
    <w:rsid w:val="00CC6362"/>
    <w:rsid w:val="00CD22CA"/>
    <w:rsid w:val="00CD3517"/>
    <w:rsid w:val="00CD5FE2"/>
    <w:rsid w:val="00CD6932"/>
    <w:rsid w:val="00CE7C68"/>
    <w:rsid w:val="00CF2715"/>
    <w:rsid w:val="00D02B4C"/>
    <w:rsid w:val="00D040C4"/>
    <w:rsid w:val="00D44C4E"/>
    <w:rsid w:val="00D46B7E"/>
    <w:rsid w:val="00D473DD"/>
    <w:rsid w:val="00D56A6E"/>
    <w:rsid w:val="00D57C84"/>
    <w:rsid w:val="00D6057D"/>
    <w:rsid w:val="00D631CF"/>
    <w:rsid w:val="00D6550F"/>
    <w:rsid w:val="00D65D90"/>
    <w:rsid w:val="00D70F8F"/>
    <w:rsid w:val="00D71640"/>
    <w:rsid w:val="00D7219E"/>
    <w:rsid w:val="00D80B37"/>
    <w:rsid w:val="00D836C5"/>
    <w:rsid w:val="00D84576"/>
    <w:rsid w:val="00DA1399"/>
    <w:rsid w:val="00DA1659"/>
    <w:rsid w:val="00DA24C6"/>
    <w:rsid w:val="00DA307A"/>
    <w:rsid w:val="00DA48C7"/>
    <w:rsid w:val="00DA4D7B"/>
    <w:rsid w:val="00DA5A13"/>
    <w:rsid w:val="00DB380D"/>
    <w:rsid w:val="00DC4C5B"/>
    <w:rsid w:val="00DE264A"/>
    <w:rsid w:val="00DF5072"/>
    <w:rsid w:val="00DF7411"/>
    <w:rsid w:val="00E02D18"/>
    <w:rsid w:val="00E0381A"/>
    <w:rsid w:val="00E041E7"/>
    <w:rsid w:val="00E16D83"/>
    <w:rsid w:val="00E23CA1"/>
    <w:rsid w:val="00E35BC5"/>
    <w:rsid w:val="00E409A8"/>
    <w:rsid w:val="00E50C12"/>
    <w:rsid w:val="00E653DE"/>
    <w:rsid w:val="00E65B91"/>
    <w:rsid w:val="00E7209D"/>
    <w:rsid w:val="00E72EAD"/>
    <w:rsid w:val="00E77223"/>
    <w:rsid w:val="00E84A26"/>
    <w:rsid w:val="00E8528B"/>
    <w:rsid w:val="00E85B94"/>
    <w:rsid w:val="00E978D0"/>
    <w:rsid w:val="00EA3678"/>
    <w:rsid w:val="00EA4613"/>
    <w:rsid w:val="00EA7F91"/>
    <w:rsid w:val="00EB0AC5"/>
    <w:rsid w:val="00EB1523"/>
    <w:rsid w:val="00EC0E49"/>
    <w:rsid w:val="00EC101F"/>
    <w:rsid w:val="00EC1D9F"/>
    <w:rsid w:val="00EE0131"/>
    <w:rsid w:val="00EE17B0"/>
    <w:rsid w:val="00EE6CF3"/>
    <w:rsid w:val="00EF06D9"/>
    <w:rsid w:val="00F10A4B"/>
    <w:rsid w:val="00F16CED"/>
    <w:rsid w:val="00F25112"/>
    <w:rsid w:val="00F26B75"/>
    <w:rsid w:val="00F30C64"/>
    <w:rsid w:val="00F32BA2"/>
    <w:rsid w:val="00F32CDB"/>
    <w:rsid w:val="00F4213D"/>
    <w:rsid w:val="00F545F1"/>
    <w:rsid w:val="00F565FE"/>
    <w:rsid w:val="00F630CB"/>
    <w:rsid w:val="00F63A70"/>
    <w:rsid w:val="00F72C4F"/>
    <w:rsid w:val="00F7534E"/>
    <w:rsid w:val="00F756AE"/>
    <w:rsid w:val="00F86B76"/>
    <w:rsid w:val="00F9458B"/>
    <w:rsid w:val="00FA1802"/>
    <w:rsid w:val="00FA21D0"/>
    <w:rsid w:val="00FA5F5F"/>
    <w:rsid w:val="00FB2C86"/>
    <w:rsid w:val="00FB730C"/>
    <w:rsid w:val="00FC2695"/>
    <w:rsid w:val="00FC3E03"/>
    <w:rsid w:val="00FC3FC1"/>
    <w:rsid w:val="00FD449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CF2715"/>
    <w:rPr>
      <w:color w:val="808080"/>
    </w:rPr>
  </w:style>
  <w:style w:type="paragraph" w:styleId="Revisione">
    <w:name w:val="Revision"/>
    <w:hidden/>
    <w:uiPriority w:val="99"/>
    <w:semiHidden/>
    <w:rsid w:val="008E02D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44205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2869</Words>
  <Characters>16354</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Edoardo  Dell'Armi</cp:lastModifiedBy>
  <cp:revision>2</cp:revision>
  <cp:lastPrinted>2015-05-12T18:31:00Z</cp:lastPrinted>
  <dcterms:created xsi:type="dcterms:W3CDTF">2022-03-13T16:44:00Z</dcterms:created>
  <dcterms:modified xsi:type="dcterms:W3CDTF">2022-03-13T16:44:00Z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http://www.zotero.org/styles/chemical-engineering-journal</vt:lpwstr>
  </property>
  <property fmtid="{D5CDD505-2E9C-101B-9397-08002B2CF9AE}" pid="6" name="Mendeley Unique User Id_1">
    <vt:lpwstr>667c050e-d3d8-3ef1-95c6-1d1f27528303</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http://www.zotero.org/styles/chemical-engineering-journal</vt:lpwstr>
  </property>
  <property fmtid="{D5CDD505-2E9C-101B-9397-08002B2CF9AE}" pid="14" name="Mendeley Recent Style Name 3_1">
    <vt:lpwstr>Chemical Engineering Journal</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